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8" w:space="0" w:color="auto"/>
          <w:bottom w:val="single" w:sz="36" w:space="0" w:color="auto"/>
        </w:tblBorders>
        <w:tblLook w:val="04A0" w:firstRow="1" w:lastRow="0" w:firstColumn="1" w:lastColumn="0" w:noHBand="0" w:noVBand="1"/>
      </w:tblPr>
      <w:tblGrid>
        <w:gridCol w:w="1526"/>
        <w:gridCol w:w="6379"/>
        <w:gridCol w:w="1873"/>
      </w:tblGrid>
      <w:tr w:rsidR="00B010DE" w:rsidRPr="008C47E1" w:rsidTr="0011408C">
        <w:tc>
          <w:tcPr>
            <w:tcW w:w="1526" w:type="dxa"/>
          </w:tcPr>
          <w:p w:rsidR="00B010DE" w:rsidRPr="008C47E1" w:rsidRDefault="00B010DE" w:rsidP="0011408C">
            <w:pPr>
              <w:widowControl w:val="0"/>
              <w:spacing w:after="0" w:line="240" w:lineRule="auto"/>
              <w:rPr>
                <w:rFonts w:ascii="Times New Roman" w:eastAsia="Calibri" w:hAnsi="Times New Roman"/>
                <w:b/>
                <w:bCs/>
                <w:color w:val="000000" w:themeColor="text1"/>
                <w:sz w:val="20"/>
                <w:szCs w:val="20"/>
              </w:rPr>
            </w:pPr>
          </w:p>
          <w:p w:rsidR="00B010DE" w:rsidRPr="008C47E1" w:rsidRDefault="00B010DE" w:rsidP="0011408C">
            <w:pPr>
              <w:widowControl w:val="0"/>
              <w:spacing w:after="0" w:line="240" w:lineRule="auto"/>
              <w:jc w:val="center"/>
              <w:rPr>
                <w:rFonts w:ascii="Times New Roman" w:eastAsia="Calibri" w:hAnsi="Times New Roman"/>
                <w:b/>
                <w:color w:val="000000" w:themeColor="text1"/>
              </w:rPr>
            </w:pPr>
            <w:r w:rsidRPr="008C47E1">
              <w:rPr>
                <w:rFonts w:ascii="Times New Roman" w:eastAsia="Calibri" w:hAnsi="Times New Roman"/>
                <w:b/>
                <w:noProof/>
                <w:color w:val="000000" w:themeColor="text1"/>
              </w:rPr>
              <w:drawing>
                <wp:inline distT="0" distB="0" distL="0" distR="0" wp14:anchorId="5571D1FB" wp14:editId="0A9180B9">
                  <wp:extent cx="800100" cy="660400"/>
                  <wp:effectExtent l="19050" t="0" r="0" b="0"/>
                  <wp:docPr id="21" name="Imagem 1" descr="homeHeaderLogoImage_pt_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HeaderLogoImage_pt_BR"/>
                          <pic:cNvPicPr>
                            <a:picLocks noChangeAspect="1" noChangeArrowheads="1"/>
                          </pic:cNvPicPr>
                        </pic:nvPicPr>
                        <pic:blipFill>
                          <a:blip r:embed="rId8" cstate="print">
                            <a:lum contrast="20000"/>
                            <a:grayscl/>
                          </a:blip>
                          <a:srcRect/>
                          <a:stretch>
                            <a:fillRect/>
                          </a:stretch>
                        </pic:blipFill>
                        <pic:spPr bwMode="auto">
                          <a:xfrm>
                            <a:off x="0" y="0"/>
                            <a:ext cx="800100" cy="660400"/>
                          </a:xfrm>
                          <a:prstGeom prst="rect">
                            <a:avLst/>
                          </a:prstGeom>
                          <a:noFill/>
                          <a:ln w="9525">
                            <a:noFill/>
                            <a:miter lim="800000"/>
                            <a:headEnd/>
                            <a:tailEnd/>
                          </a:ln>
                        </pic:spPr>
                      </pic:pic>
                    </a:graphicData>
                  </a:graphic>
                </wp:inline>
              </w:drawing>
            </w:r>
          </w:p>
          <w:p w:rsidR="00B010DE" w:rsidRPr="008C47E1" w:rsidRDefault="00B010DE" w:rsidP="0011408C">
            <w:pPr>
              <w:widowControl w:val="0"/>
              <w:spacing w:after="0" w:line="240" w:lineRule="auto"/>
              <w:jc w:val="center"/>
              <w:rPr>
                <w:rFonts w:ascii="Times New Roman" w:eastAsia="Calibri" w:hAnsi="Times New Roman"/>
                <w:b/>
                <w:color w:val="000000" w:themeColor="text1"/>
                <w:sz w:val="16"/>
                <w:szCs w:val="16"/>
              </w:rPr>
            </w:pPr>
            <w:r w:rsidRPr="008C47E1">
              <w:rPr>
                <w:rFonts w:ascii="Times New Roman" w:eastAsia="Calibri" w:hAnsi="Times New Roman"/>
                <w:b/>
                <w:color w:val="000000" w:themeColor="text1"/>
                <w:sz w:val="16"/>
                <w:szCs w:val="16"/>
              </w:rPr>
              <w:t>ISSN:1984-2295</w:t>
            </w:r>
          </w:p>
        </w:tc>
        <w:tc>
          <w:tcPr>
            <w:tcW w:w="6379" w:type="dxa"/>
          </w:tcPr>
          <w:p w:rsidR="00B010DE" w:rsidRPr="008C47E1" w:rsidRDefault="00B010DE" w:rsidP="0011408C">
            <w:pPr>
              <w:widowControl w:val="0"/>
              <w:spacing w:after="0" w:line="240" w:lineRule="auto"/>
              <w:jc w:val="center"/>
              <w:rPr>
                <w:rFonts w:ascii="Times New Roman" w:eastAsia="Calibri" w:hAnsi="Times New Roman"/>
                <w:color w:val="000000" w:themeColor="text1"/>
                <w:sz w:val="52"/>
                <w:szCs w:val="52"/>
              </w:rPr>
            </w:pPr>
            <w:r w:rsidRPr="008C47E1">
              <w:rPr>
                <w:rFonts w:ascii="Times New Roman" w:eastAsia="Calibri" w:hAnsi="Times New Roman"/>
                <w:color w:val="000000" w:themeColor="text1"/>
                <w:sz w:val="52"/>
                <w:szCs w:val="52"/>
              </w:rPr>
              <w:t>Revista Brasileira de Geografia Física</w:t>
            </w:r>
          </w:p>
          <w:p w:rsidR="00B010DE" w:rsidRPr="008C47E1" w:rsidRDefault="00B010DE" w:rsidP="0011408C">
            <w:pPr>
              <w:widowControl w:val="0"/>
              <w:spacing w:after="0" w:line="240" w:lineRule="auto"/>
              <w:jc w:val="center"/>
              <w:rPr>
                <w:rFonts w:ascii="Times New Roman" w:eastAsia="Calibri" w:hAnsi="Times New Roman"/>
                <w:color w:val="000000" w:themeColor="text1"/>
              </w:rPr>
            </w:pPr>
          </w:p>
          <w:p w:rsidR="00B010DE" w:rsidRPr="008C47E1" w:rsidRDefault="00B010DE" w:rsidP="0011408C">
            <w:pPr>
              <w:widowControl w:val="0"/>
              <w:spacing w:after="0" w:line="240" w:lineRule="auto"/>
              <w:jc w:val="center"/>
              <w:rPr>
                <w:rFonts w:ascii="Times New Roman" w:eastAsia="Calibri" w:hAnsi="Times New Roman"/>
                <w:color w:val="000000" w:themeColor="text1"/>
              </w:rPr>
            </w:pPr>
            <w:r w:rsidRPr="008C47E1">
              <w:rPr>
                <w:rFonts w:ascii="Times New Roman" w:eastAsia="Calibri" w:hAnsi="Times New Roman"/>
                <w:color w:val="000000" w:themeColor="text1"/>
              </w:rPr>
              <w:t xml:space="preserve">Homepage: </w:t>
            </w:r>
            <w:hyperlink r:id="rId9" w:history="1">
              <w:r>
                <w:rPr>
                  <w:rStyle w:val="Hyperlink"/>
                </w:rPr>
                <w:t>https://periodicos.ufpe.br/revistas/rbgfe</w:t>
              </w:r>
            </w:hyperlink>
          </w:p>
        </w:tc>
        <w:tc>
          <w:tcPr>
            <w:tcW w:w="1873" w:type="dxa"/>
          </w:tcPr>
          <w:p w:rsidR="00B010DE" w:rsidRPr="008C47E1" w:rsidRDefault="00B010DE" w:rsidP="0011408C">
            <w:pPr>
              <w:widowControl w:val="0"/>
              <w:spacing w:after="0" w:line="240" w:lineRule="auto"/>
              <w:jc w:val="center"/>
              <w:rPr>
                <w:rFonts w:ascii="Times New Roman" w:eastAsia="Calibri" w:hAnsi="Times New Roman"/>
                <w:b/>
                <w:color w:val="000000" w:themeColor="text1"/>
              </w:rPr>
            </w:pPr>
            <w:r w:rsidRPr="008C47E1">
              <w:rPr>
                <w:rFonts w:ascii="Times New Roman" w:eastAsia="Calibri" w:hAnsi="Times New Roman"/>
                <w:b/>
                <w:noProof/>
                <w:color w:val="000000" w:themeColor="text1"/>
              </w:rPr>
              <w:drawing>
                <wp:inline distT="0" distB="0" distL="0" distR="0" wp14:anchorId="0B03FA53" wp14:editId="32A6EFB6">
                  <wp:extent cx="876300" cy="1168400"/>
                  <wp:effectExtent l="38100" t="19050" r="19050" b="12700"/>
                  <wp:docPr id="22" name="Imagem 2" descr="REVISTA BRASILEIRA DE GEOGRAFIA FÍSICA - RBG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VISTA BRASILEIRA DE GEOGRAFIA FÍSICA - RBGF4"/>
                          <pic:cNvPicPr>
                            <a:picLocks noChangeAspect="1" noChangeArrowheads="1"/>
                          </pic:cNvPicPr>
                        </pic:nvPicPr>
                        <pic:blipFill>
                          <a:blip r:embed="rId10" cstate="print"/>
                          <a:srcRect/>
                          <a:stretch>
                            <a:fillRect/>
                          </a:stretch>
                        </pic:blipFill>
                        <pic:spPr bwMode="auto">
                          <a:xfrm>
                            <a:off x="0" y="0"/>
                            <a:ext cx="876300" cy="1168400"/>
                          </a:xfrm>
                          <a:prstGeom prst="rect">
                            <a:avLst/>
                          </a:prstGeom>
                          <a:noFill/>
                          <a:ln w="12700" cmpd="sng">
                            <a:solidFill>
                              <a:srgbClr val="000000"/>
                            </a:solidFill>
                            <a:miter lim="800000"/>
                            <a:headEnd/>
                            <a:tailEnd/>
                          </a:ln>
                          <a:effectLst/>
                        </pic:spPr>
                      </pic:pic>
                    </a:graphicData>
                  </a:graphic>
                </wp:inline>
              </w:drawing>
            </w:r>
          </w:p>
        </w:tc>
      </w:tr>
    </w:tbl>
    <w:p w:rsidR="00B010DE" w:rsidRDefault="00B010DE" w:rsidP="009229BD">
      <w:pPr>
        <w:autoSpaceDE w:val="0"/>
        <w:autoSpaceDN w:val="0"/>
        <w:adjustRightInd w:val="0"/>
        <w:spacing w:before="120" w:after="120" w:line="240" w:lineRule="auto"/>
        <w:jc w:val="center"/>
        <w:rPr>
          <w:rFonts w:ascii="Times New Roman" w:hAnsi="Times New Roman" w:cs="Times New Roman"/>
          <w:b/>
          <w:bCs/>
          <w:sz w:val="24"/>
          <w:szCs w:val="24"/>
        </w:rPr>
      </w:pPr>
    </w:p>
    <w:p w:rsidR="009229BD" w:rsidRPr="00B010DE" w:rsidRDefault="009A0750" w:rsidP="009229BD">
      <w:pPr>
        <w:autoSpaceDE w:val="0"/>
        <w:autoSpaceDN w:val="0"/>
        <w:adjustRightInd w:val="0"/>
        <w:spacing w:before="120" w:after="120" w:line="240" w:lineRule="auto"/>
        <w:jc w:val="center"/>
        <w:rPr>
          <w:rFonts w:ascii="Times New Roman" w:hAnsi="Times New Roman" w:cs="Times New Roman"/>
          <w:b/>
          <w:bCs/>
          <w:sz w:val="28"/>
          <w:szCs w:val="28"/>
        </w:rPr>
      </w:pPr>
      <w:r w:rsidRPr="00B010DE">
        <w:rPr>
          <w:rFonts w:ascii="Times New Roman" w:hAnsi="Times New Roman" w:cs="Times New Roman"/>
          <w:b/>
          <w:bCs/>
          <w:sz w:val="28"/>
          <w:szCs w:val="28"/>
        </w:rPr>
        <w:t>Análise espacial da morbimortalidade humana associada ao s</w:t>
      </w:r>
      <w:r w:rsidR="00396B26" w:rsidRPr="00B010DE">
        <w:rPr>
          <w:rFonts w:ascii="Times New Roman" w:hAnsi="Times New Roman" w:cs="Times New Roman"/>
          <w:b/>
          <w:bCs/>
          <w:sz w:val="28"/>
          <w:szCs w:val="28"/>
        </w:rPr>
        <w:t>aneamento, destinação do lixo,</w:t>
      </w:r>
      <w:r w:rsidR="006E78AB" w:rsidRPr="00B010DE">
        <w:rPr>
          <w:rFonts w:ascii="Times New Roman" w:hAnsi="Times New Roman" w:cs="Times New Roman"/>
          <w:b/>
          <w:bCs/>
          <w:sz w:val="28"/>
          <w:szCs w:val="28"/>
        </w:rPr>
        <w:t xml:space="preserve"> </w:t>
      </w:r>
      <w:r w:rsidRPr="00B010DE">
        <w:rPr>
          <w:rFonts w:ascii="Times New Roman" w:hAnsi="Times New Roman" w:cs="Times New Roman"/>
          <w:b/>
          <w:bCs/>
          <w:sz w:val="28"/>
          <w:szCs w:val="28"/>
        </w:rPr>
        <w:t>abastecimento e tratamento de água</w:t>
      </w:r>
    </w:p>
    <w:p w:rsidR="00B010DE" w:rsidRDefault="00B010DE" w:rsidP="00B010DE">
      <w:pPr>
        <w:spacing w:after="0"/>
        <w:jc w:val="center"/>
        <w:rPr>
          <w:rFonts w:ascii="Times New Roman" w:hAnsi="Times New Roman" w:cs="Times New Roman"/>
          <w:color w:val="111111"/>
          <w:sz w:val="24"/>
          <w:szCs w:val="24"/>
          <w:shd w:val="clear" w:color="auto" w:fill="FBFBF3"/>
        </w:rPr>
      </w:pPr>
      <w:r w:rsidRPr="00B010DE">
        <w:rPr>
          <w:rFonts w:ascii="Times New Roman" w:hAnsi="Times New Roman" w:cs="Times New Roman"/>
          <w:color w:val="111111"/>
          <w:sz w:val="24"/>
          <w:szCs w:val="24"/>
          <w:shd w:val="clear" w:color="auto" w:fill="FBFBF3"/>
        </w:rPr>
        <w:t>Jéssica Mazutti Penso-Campos</w:t>
      </w:r>
      <w:r>
        <w:rPr>
          <w:rFonts w:ascii="Times New Roman" w:hAnsi="Times New Roman" w:cs="Times New Roman"/>
          <w:color w:val="111111"/>
          <w:sz w:val="24"/>
          <w:szCs w:val="24"/>
          <w:shd w:val="clear" w:color="auto" w:fill="FBFBF3"/>
          <w:vertAlign w:val="superscript"/>
        </w:rPr>
        <w:t>1</w:t>
      </w:r>
      <w:r w:rsidRPr="00B010DE">
        <w:rPr>
          <w:rFonts w:ascii="Times New Roman" w:hAnsi="Times New Roman" w:cs="Times New Roman"/>
          <w:color w:val="111111"/>
          <w:sz w:val="24"/>
          <w:szCs w:val="24"/>
          <w:shd w:val="clear" w:color="auto" w:fill="FBFBF3"/>
        </w:rPr>
        <w:t>, Eduardo Périco</w:t>
      </w:r>
      <w:r>
        <w:rPr>
          <w:rFonts w:ascii="Times New Roman" w:hAnsi="Times New Roman" w:cs="Times New Roman"/>
          <w:color w:val="111111"/>
          <w:sz w:val="24"/>
          <w:szCs w:val="24"/>
          <w:shd w:val="clear" w:color="auto" w:fill="FBFBF3"/>
          <w:vertAlign w:val="superscript"/>
        </w:rPr>
        <w:t>2</w:t>
      </w:r>
      <w:r w:rsidRPr="00B010DE">
        <w:rPr>
          <w:rFonts w:ascii="Times New Roman" w:hAnsi="Times New Roman" w:cs="Times New Roman"/>
          <w:color w:val="111111"/>
          <w:sz w:val="24"/>
          <w:szCs w:val="24"/>
          <w:shd w:val="clear" w:color="auto" w:fill="FBFBF3"/>
        </w:rPr>
        <w:t>, Eliane Fraga da Silveir</w:t>
      </w:r>
      <w:r w:rsidRPr="00B010DE">
        <w:rPr>
          <w:rFonts w:ascii="Times New Roman" w:hAnsi="Times New Roman" w:cs="Times New Roman"/>
          <w:color w:val="111111"/>
          <w:sz w:val="24"/>
          <w:szCs w:val="24"/>
          <w:shd w:val="clear" w:color="auto" w:fill="FBFBF3"/>
        </w:rPr>
        <w:t>a</w:t>
      </w:r>
      <w:r>
        <w:rPr>
          <w:rFonts w:ascii="Times New Roman" w:hAnsi="Times New Roman" w:cs="Times New Roman"/>
          <w:color w:val="111111"/>
          <w:sz w:val="24"/>
          <w:szCs w:val="24"/>
          <w:shd w:val="clear" w:color="auto" w:fill="FBFBF3"/>
          <w:vertAlign w:val="superscript"/>
        </w:rPr>
        <w:t>3</w:t>
      </w:r>
      <w:r>
        <w:rPr>
          <w:rFonts w:ascii="Times New Roman" w:hAnsi="Times New Roman" w:cs="Times New Roman"/>
          <w:color w:val="111111"/>
          <w:sz w:val="24"/>
          <w:szCs w:val="24"/>
          <w:shd w:val="clear" w:color="auto" w:fill="FBFBF3"/>
        </w:rPr>
        <w:t xml:space="preserve">. </w:t>
      </w:r>
    </w:p>
    <w:p w:rsidR="00B010DE" w:rsidRPr="00B010DE" w:rsidRDefault="00B010DE" w:rsidP="00B010DE">
      <w:pPr>
        <w:spacing w:after="0"/>
        <w:jc w:val="center"/>
        <w:rPr>
          <w:rFonts w:ascii="Times New Roman" w:eastAsia="Times New Roman" w:hAnsi="Times New Roman" w:cs="Times New Roman"/>
          <w:color w:val="111111"/>
          <w:sz w:val="20"/>
          <w:szCs w:val="20"/>
        </w:rPr>
      </w:pPr>
      <w:r w:rsidRPr="00B010DE">
        <w:rPr>
          <w:rFonts w:ascii="Times New Roman" w:hAnsi="Times New Roman" w:cs="Times New Roman"/>
          <w:color w:val="111111"/>
          <w:sz w:val="20"/>
          <w:szCs w:val="20"/>
          <w:shd w:val="clear" w:color="auto" w:fill="FBFBF3"/>
        </w:rPr>
        <w:t>Autor Correspóndente (e-mail: jessica.m.penso@gmail.com).</w:t>
      </w:r>
      <w:r w:rsidRPr="00B010DE">
        <w:rPr>
          <w:rFonts w:ascii="Times New Roman" w:eastAsia="Times New Roman" w:hAnsi="Times New Roman" w:cs="Times New Roman"/>
          <w:color w:val="111111"/>
          <w:sz w:val="20"/>
          <w:szCs w:val="20"/>
          <w:vertAlign w:val="superscript"/>
        </w:rPr>
        <w:t>1,2</w:t>
      </w:r>
      <w:r w:rsidRPr="00B010DE">
        <w:rPr>
          <w:rFonts w:ascii="Times New Roman" w:eastAsia="Times New Roman" w:hAnsi="Times New Roman" w:cs="Times New Roman"/>
          <w:color w:val="111111"/>
          <w:sz w:val="20"/>
          <w:szCs w:val="20"/>
        </w:rPr>
        <w:t xml:space="preserve">Universidade do Vale do Taquari – UNIVATES, </w:t>
      </w:r>
      <w:r w:rsidRPr="00B010DE">
        <w:rPr>
          <w:rFonts w:ascii="Times New Roman" w:eastAsia="Times New Roman" w:hAnsi="Times New Roman" w:cs="Times New Roman"/>
          <w:color w:val="111111"/>
          <w:sz w:val="20"/>
          <w:szCs w:val="20"/>
          <w:vertAlign w:val="superscript"/>
        </w:rPr>
        <w:t>3</w:t>
      </w:r>
      <w:r w:rsidRPr="00B010DE">
        <w:rPr>
          <w:rFonts w:ascii="Times New Roman" w:hAnsi="Times New Roman" w:cs="Times New Roman"/>
          <w:color w:val="111111"/>
          <w:sz w:val="20"/>
          <w:szCs w:val="20"/>
          <w:shd w:val="clear" w:color="auto" w:fill="FBFBF3"/>
        </w:rPr>
        <w:t>Universidade Luterana do Brasil -ULBRA</w:t>
      </w:r>
    </w:p>
    <w:p w:rsidR="00B010DE" w:rsidRPr="00B010DE" w:rsidRDefault="00B010DE" w:rsidP="00B010DE">
      <w:pPr>
        <w:widowControl w:val="0"/>
        <w:pBdr>
          <w:bottom w:val="single" w:sz="12" w:space="1" w:color="00000A"/>
        </w:pBdr>
        <w:spacing w:after="0" w:line="240" w:lineRule="auto"/>
        <w:jc w:val="center"/>
        <w:rPr>
          <w:rFonts w:ascii="Times New Roman" w:hAnsi="Times New Roman"/>
          <w:sz w:val="20"/>
          <w:szCs w:val="20"/>
        </w:rPr>
      </w:pPr>
      <w:r w:rsidRPr="00B010DE">
        <w:rPr>
          <w:rFonts w:ascii="Times New Roman" w:hAnsi="Times New Roman"/>
          <w:sz w:val="20"/>
          <w:szCs w:val="20"/>
          <w:lang w:eastAsia="ar-SA"/>
        </w:rPr>
        <w:t>Artigo recebido em</w:t>
      </w:r>
      <w:r>
        <w:rPr>
          <w:rFonts w:ascii="Times New Roman" w:hAnsi="Times New Roman"/>
          <w:sz w:val="20"/>
          <w:szCs w:val="20"/>
          <w:lang w:eastAsia="ar-SA"/>
        </w:rPr>
        <w:t xml:space="preserve"> 30</w:t>
      </w:r>
      <w:r w:rsidRPr="00B010DE">
        <w:rPr>
          <w:rFonts w:ascii="Times New Roman" w:hAnsi="Times New Roman"/>
          <w:sz w:val="20"/>
          <w:szCs w:val="20"/>
          <w:lang w:eastAsia="ar-SA"/>
        </w:rPr>
        <w:t>/0</w:t>
      </w:r>
      <w:r>
        <w:rPr>
          <w:rFonts w:ascii="Times New Roman" w:hAnsi="Times New Roman"/>
          <w:sz w:val="20"/>
          <w:szCs w:val="20"/>
          <w:lang w:eastAsia="ar-SA"/>
        </w:rPr>
        <w:t>4/2019</w:t>
      </w:r>
      <w:r w:rsidRPr="00B010DE">
        <w:rPr>
          <w:rFonts w:ascii="Times New Roman" w:hAnsi="Times New Roman"/>
          <w:sz w:val="20"/>
          <w:szCs w:val="20"/>
          <w:lang w:eastAsia="ar-SA"/>
        </w:rPr>
        <w:t xml:space="preserve"> e aceite em 15/0</w:t>
      </w:r>
      <w:r>
        <w:rPr>
          <w:rFonts w:ascii="Times New Roman" w:hAnsi="Times New Roman"/>
          <w:sz w:val="20"/>
          <w:szCs w:val="20"/>
          <w:lang w:eastAsia="ar-SA"/>
        </w:rPr>
        <w:t>7</w:t>
      </w:r>
      <w:r w:rsidRPr="00B010DE">
        <w:rPr>
          <w:rFonts w:ascii="Times New Roman" w:hAnsi="Times New Roman"/>
          <w:sz w:val="20"/>
          <w:szCs w:val="20"/>
          <w:lang w:eastAsia="ar-SA"/>
        </w:rPr>
        <w:t>/2019</w:t>
      </w:r>
    </w:p>
    <w:p w:rsidR="00B010DE" w:rsidRPr="007C344C" w:rsidRDefault="00B010DE" w:rsidP="00B010DE">
      <w:pPr>
        <w:spacing w:after="0" w:line="240" w:lineRule="auto"/>
        <w:rPr>
          <w:rFonts w:ascii="Times New Roman" w:hAnsi="Times New Roman"/>
        </w:rPr>
      </w:pPr>
      <w:r w:rsidRPr="007C344C">
        <w:rPr>
          <w:rFonts w:ascii="Times New Roman" w:hAnsi="Times New Roman"/>
          <w:b/>
        </w:rPr>
        <w:t>R E S U M O</w:t>
      </w:r>
    </w:p>
    <w:p w:rsidR="00854D3C" w:rsidRPr="00B010DE" w:rsidRDefault="00524907" w:rsidP="009C0164">
      <w:pPr>
        <w:autoSpaceDE w:val="0"/>
        <w:autoSpaceDN w:val="0"/>
        <w:adjustRightInd w:val="0"/>
        <w:spacing w:before="120" w:after="120" w:line="240" w:lineRule="auto"/>
        <w:jc w:val="both"/>
        <w:rPr>
          <w:rFonts w:ascii="Times New Roman" w:hAnsi="Times New Roman" w:cs="Times New Roman"/>
          <w:bCs/>
          <w:sz w:val="20"/>
          <w:szCs w:val="20"/>
        </w:rPr>
      </w:pPr>
      <w:r w:rsidRPr="00B010DE">
        <w:rPr>
          <w:rFonts w:ascii="Times New Roman" w:hAnsi="Times New Roman" w:cs="Times New Roman"/>
          <w:bCs/>
          <w:sz w:val="20"/>
          <w:szCs w:val="20"/>
        </w:rPr>
        <w:t>A</w:t>
      </w:r>
      <w:r w:rsidR="00854D3C" w:rsidRPr="00B010DE">
        <w:rPr>
          <w:rFonts w:ascii="Times New Roman" w:hAnsi="Times New Roman" w:cs="Times New Roman"/>
          <w:bCs/>
          <w:sz w:val="20"/>
          <w:szCs w:val="20"/>
        </w:rPr>
        <w:t xml:space="preserve"> negligência relacion</w:t>
      </w:r>
      <w:r w:rsidR="00833434" w:rsidRPr="00B010DE">
        <w:rPr>
          <w:rFonts w:ascii="Times New Roman" w:hAnsi="Times New Roman" w:cs="Times New Roman"/>
          <w:bCs/>
          <w:sz w:val="20"/>
          <w:szCs w:val="20"/>
        </w:rPr>
        <w:t>ada ao saneamento inadequado e à</w:t>
      </w:r>
      <w:r w:rsidR="0016352F" w:rsidRPr="00B010DE">
        <w:rPr>
          <w:rFonts w:ascii="Times New Roman" w:hAnsi="Times New Roman" w:cs="Times New Roman"/>
          <w:bCs/>
          <w:sz w:val="20"/>
          <w:szCs w:val="20"/>
        </w:rPr>
        <w:t xml:space="preserve"> destinação incorreta do</w:t>
      </w:r>
      <w:r w:rsidR="00854D3C" w:rsidRPr="00B010DE">
        <w:rPr>
          <w:rFonts w:ascii="Times New Roman" w:hAnsi="Times New Roman" w:cs="Times New Roman"/>
          <w:bCs/>
          <w:sz w:val="20"/>
          <w:szCs w:val="20"/>
        </w:rPr>
        <w:t xml:space="preserve"> lixo tornam-se fatores que contribuem para a contaminação hídrica</w:t>
      </w:r>
      <w:r w:rsidR="00833434" w:rsidRPr="00B010DE">
        <w:rPr>
          <w:rFonts w:ascii="Times New Roman" w:hAnsi="Times New Roman" w:cs="Times New Roman"/>
          <w:bCs/>
          <w:sz w:val="20"/>
          <w:szCs w:val="20"/>
        </w:rPr>
        <w:t xml:space="preserve">, assim como, </w:t>
      </w:r>
      <w:r w:rsidR="00201EB5" w:rsidRPr="00B010DE">
        <w:rPr>
          <w:rFonts w:ascii="Times New Roman" w:hAnsi="Times New Roman" w:cs="Times New Roman"/>
          <w:bCs/>
          <w:sz w:val="20"/>
          <w:szCs w:val="20"/>
        </w:rPr>
        <w:t>a problemática da poluição ambiental é notória</w:t>
      </w:r>
      <w:r w:rsidR="00854D3C" w:rsidRPr="00B010DE">
        <w:rPr>
          <w:rFonts w:ascii="Times New Roman" w:hAnsi="Times New Roman" w:cs="Times New Roman"/>
          <w:bCs/>
          <w:sz w:val="20"/>
          <w:szCs w:val="20"/>
        </w:rPr>
        <w:t xml:space="preserve">. </w:t>
      </w:r>
      <w:r w:rsidRPr="00B010DE">
        <w:rPr>
          <w:rFonts w:ascii="Times New Roman" w:hAnsi="Times New Roman" w:cs="Times New Roman"/>
          <w:bCs/>
          <w:sz w:val="20"/>
          <w:szCs w:val="20"/>
        </w:rPr>
        <w:t xml:space="preserve">O objetivo do estudo consistiu em </w:t>
      </w:r>
      <w:r w:rsidR="00854D3C" w:rsidRPr="00B010DE">
        <w:rPr>
          <w:rFonts w:ascii="Times New Roman" w:hAnsi="Times New Roman" w:cs="Times New Roman"/>
          <w:bCs/>
          <w:sz w:val="20"/>
          <w:szCs w:val="20"/>
        </w:rPr>
        <w:t>analisar e estabelecer o grau de risco dos municípios do Rio Grande do Sul em relação à morbimortalidade humana associada ao saneamento, destinação do lixo e abastecimento e tratamento de água.</w:t>
      </w:r>
      <w:r w:rsidRPr="00B010DE">
        <w:rPr>
          <w:rFonts w:ascii="Times New Roman" w:hAnsi="Times New Roman" w:cs="Times New Roman"/>
          <w:bCs/>
          <w:sz w:val="20"/>
          <w:szCs w:val="20"/>
        </w:rPr>
        <w:t xml:space="preserve">A </w:t>
      </w:r>
      <w:r w:rsidR="00F246DF" w:rsidRPr="00B010DE">
        <w:rPr>
          <w:rFonts w:ascii="Times New Roman" w:hAnsi="Times New Roman" w:cs="Times New Roman"/>
          <w:bCs/>
          <w:sz w:val="20"/>
          <w:szCs w:val="20"/>
        </w:rPr>
        <w:t>análise das áreas mais suscetíveis</w:t>
      </w:r>
      <w:r w:rsidRPr="00B010DE">
        <w:rPr>
          <w:rFonts w:ascii="Times New Roman" w:hAnsi="Times New Roman" w:cs="Times New Roman"/>
          <w:bCs/>
          <w:sz w:val="20"/>
          <w:szCs w:val="20"/>
        </w:rPr>
        <w:t xml:space="preserve"> é relevante</w:t>
      </w:r>
      <w:r w:rsidR="00F246DF" w:rsidRPr="00B010DE">
        <w:rPr>
          <w:rFonts w:ascii="Times New Roman" w:hAnsi="Times New Roman" w:cs="Times New Roman"/>
          <w:bCs/>
          <w:sz w:val="20"/>
          <w:szCs w:val="20"/>
        </w:rPr>
        <w:t>, u</w:t>
      </w:r>
      <w:bookmarkStart w:id="0" w:name="_GoBack"/>
      <w:bookmarkEnd w:id="0"/>
      <w:r w:rsidR="00F246DF" w:rsidRPr="00B010DE">
        <w:rPr>
          <w:rFonts w:ascii="Times New Roman" w:hAnsi="Times New Roman" w:cs="Times New Roman"/>
          <w:bCs/>
          <w:sz w:val="20"/>
          <w:szCs w:val="20"/>
        </w:rPr>
        <w:t>ma vez que possibilita o planejamento e execução das ações emergentes</w:t>
      </w:r>
      <w:r w:rsidR="00CE0897" w:rsidRPr="00B010DE">
        <w:rPr>
          <w:rFonts w:ascii="Times New Roman" w:hAnsi="Times New Roman" w:cs="Times New Roman"/>
          <w:bCs/>
          <w:sz w:val="20"/>
          <w:szCs w:val="20"/>
        </w:rPr>
        <w:t xml:space="preserve">, </w:t>
      </w:r>
      <w:r w:rsidR="000E7EC5" w:rsidRPr="00B010DE">
        <w:rPr>
          <w:rFonts w:ascii="Times New Roman" w:hAnsi="Times New Roman" w:cs="Times New Roman"/>
          <w:bCs/>
          <w:sz w:val="20"/>
          <w:szCs w:val="20"/>
        </w:rPr>
        <w:t>bem como, estratégias de promoção da saúde</w:t>
      </w:r>
      <w:r w:rsidR="00F246DF" w:rsidRPr="00B010DE">
        <w:rPr>
          <w:rFonts w:ascii="Times New Roman" w:hAnsi="Times New Roman" w:cs="Times New Roman"/>
          <w:bCs/>
          <w:sz w:val="20"/>
          <w:szCs w:val="20"/>
        </w:rPr>
        <w:t>.</w:t>
      </w:r>
      <w:r w:rsidR="00D47A6D" w:rsidRPr="00B010DE">
        <w:rPr>
          <w:rFonts w:ascii="Times New Roman" w:hAnsi="Times New Roman" w:cs="Times New Roman"/>
          <w:bCs/>
          <w:sz w:val="20"/>
          <w:szCs w:val="20"/>
        </w:rPr>
        <w:t xml:space="preserve"> Tra</w:t>
      </w:r>
      <w:r w:rsidR="00CE0897" w:rsidRPr="00B010DE">
        <w:rPr>
          <w:rFonts w:ascii="Times New Roman" w:hAnsi="Times New Roman" w:cs="Times New Roman"/>
          <w:bCs/>
          <w:sz w:val="20"/>
          <w:szCs w:val="20"/>
        </w:rPr>
        <w:t xml:space="preserve">ta-se de um estudo quantitativo </w:t>
      </w:r>
      <w:r w:rsidR="000E7EC5" w:rsidRPr="00B010DE">
        <w:rPr>
          <w:rFonts w:ascii="Times New Roman" w:hAnsi="Times New Roman" w:cs="Times New Roman"/>
          <w:bCs/>
          <w:sz w:val="20"/>
          <w:szCs w:val="20"/>
        </w:rPr>
        <w:t xml:space="preserve">e </w:t>
      </w:r>
      <w:r w:rsidR="00452C6E" w:rsidRPr="00B010DE">
        <w:rPr>
          <w:rFonts w:ascii="Times New Roman" w:hAnsi="Times New Roman" w:cs="Times New Roman"/>
          <w:bCs/>
          <w:sz w:val="20"/>
          <w:szCs w:val="20"/>
        </w:rPr>
        <w:t>ecológico</w:t>
      </w:r>
      <w:r w:rsidR="00D47A6D" w:rsidRPr="00B010DE">
        <w:rPr>
          <w:rFonts w:ascii="Times New Roman" w:hAnsi="Times New Roman" w:cs="Times New Roman"/>
          <w:bCs/>
          <w:sz w:val="20"/>
          <w:szCs w:val="20"/>
        </w:rPr>
        <w:t xml:space="preserve">, cuja unidade de análise </w:t>
      </w:r>
      <w:r w:rsidR="00C370C1" w:rsidRPr="00B010DE">
        <w:rPr>
          <w:rFonts w:ascii="Times New Roman" w:hAnsi="Times New Roman" w:cs="Times New Roman"/>
          <w:bCs/>
          <w:sz w:val="20"/>
          <w:szCs w:val="20"/>
        </w:rPr>
        <w:t xml:space="preserve">caracteriza-se pelo </w:t>
      </w:r>
      <w:r w:rsidR="00D47A6D" w:rsidRPr="00B010DE">
        <w:rPr>
          <w:rFonts w:ascii="Times New Roman" w:hAnsi="Times New Roman" w:cs="Times New Roman"/>
          <w:bCs/>
          <w:sz w:val="20"/>
          <w:szCs w:val="20"/>
        </w:rPr>
        <w:t>conjunto de internações hospitalares e de óbitos</w:t>
      </w:r>
      <w:r w:rsidR="00CE0897" w:rsidRPr="00B010DE">
        <w:rPr>
          <w:rFonts w:ascii="Times New Roman" w:hAnsi="Times New Roman" w:cs="Times New Roman"/>
          <w:bCs/>
          <w:sz w:val="20"/>
          <w:szCs w:val="20"/>
        </w:rPr>
        <w:t xml:space="preserve">, </w:t>
      </w:r>
      <w:r w:rsidR="000E7EC5" w:rsidRPr="00B010DE">
        <w:rPr>
          <w:rFonts w:ascii="Times New Roman" w:hAnsi="Times New Roman" w:cs="Times New Roman"/>
          <w:bCs/>
          <w:sz w:val="20"/>
          <w:szCs w:val="20"/>
        </w:rPr>
        <w:t>ocasionados</w:t>
      </w:r>
      <w:r w:rsidR="00D47A6D" w:rsidRPr="00B010DE">
        <w:rPr>
          <w:rFonts w:ascii="Times New Roman" w:hAnsi="Times New Roman" w:cs="Times New Roman"/>
          <w:bCs/>
          <w:sz w:val="20"/>
          <w:szCs w:val="20"/>
        </w:rPr>
        <w:t xml:space="preserve"> pelas doenças de transmissão hídrica e alimentar</w:t>
      </w:r>
      <w:r w:rsidR="008D2DB3" w:rsidRPr="00B010DE">
        <w:rPr>
          <w:rFonts w:ascii="Times New Roman" w:hAnsi="Times New Roman" w:cs="Times New Roman"/>
          <w:bCs/>
          <w:sz w:val="20"/>
          <w:szCs w:val="20"/>
        </w:rPr>
        <w:t xml:space="preserve"> (DTHA)</w:t>
      </w:r>
      <w:r w:rsidR="00CE0897" w:rsidRPr="00B010DE">
        <w:rPr>
          <w:rFonts w:ascii="Times New Roman" w:hAnsi="Times New Roman" w:cs="Times New Roman"/>
          <w:bCs/>
          <w:sz w:val="20"/>
          <w:szCs w:val="20"/>
        </w:rPr>
        <w:t>, e</w:t>
      </w:r>
      <w:r w:rsidR="00D47A6D" w:rsidRPr="00B010DE">
        <w:rPr>
          <w:rFonts w:ascii="Times New Roman" w:hAnsi="Times New Roman" w:cs="Times New Roman"/>
          <w:bCs/>
          <w:sz w:val="20"/>
          <w:szCs w:val="20"/>
        </w:rPr>
        <w:t xml:space="preserve">m relação às condições de abastecimento </w:t>
      </w:r>
      <w:r w:rsidR="00B20A1C" w:rsidRPr="00B010DE">
        <w:rPr>
          <w:rFonts w:ascii="Times New Roman" w:hAnsi="Times New Roman" w:cs="Times New Roman"/>
          <w:bCs/>
          <w:sz w:val="20"/>
          <w:szCs w:val="20"/>
        </w:rPr>
        <w:t xml:space="preserve">e tratamento </w:t>
      </w:r>
      <w:r w:rsidR="00D47A6D" w:rsidRPr="00B010DE">
        <w:rPr>
          <w:rFonts w:ascii="Times New Roman" w:hAnsi="Times New Roman" w:cs="Times New Roman"/>
          <w:bCs/>
          <w:sz w:val="20"/>
          <w:szCs w:val="20"/>
        </w:rPr>
        <w:t>de água, condições sanitárias e de destinação de lixo.</w:t>
      </w:r>
      <w:r w:rsidR="00E66B3B" w:rsidRPr="00B010DE">
        <w:rPr>
          <w:rFonts w:ascii="Times New Roman" w:hAnsi="Times New Roman" w:cs="Times New Roman"/>
          <w:bCs/>
          <w:sz w:val="20"/>
          <w:szCs w:val="20"/>
        </w:rPr>
        <w:t>Para</w:t>
      </w:r>
      <w:r w:rsidR="000E7EC5" w:rsidRPr="00B010DE">
        <w:rPr>
          <w:rFonts w:ascii="Times New Roman" w:hAnsi="Times New Roman" w:cs="Times New Roman"/>
          <w:bCs/>
          <w:sz w:val="20"/>
          <w:szCs w:val="20"/>
        </w:rPr>
        <w:t xml:space="preserve"> a análise, </w:t>
      </w:r>
      <w:r w:rsidR="00CE0897" w:rsidRPr="00B010DE">
        <w:rPr>
          <w:rFonts w:ascii="Times New Roman" w:hAnsi="Times New Roman" w:cs="Times New Roman"/>
          <w:bCs/>
          <w:sz w:val="20"/>
          <w:szCs w:val="20"/>
        </w:rPr>
        <w:t>u</w:t>
      </w:r>
      <w:r w:rsidR="00B20A1C" w:rsidRPr="00B010DE">
        <w:rPr>
          <w:rFonts w:ascii="Times New Roman" w:hAnsi="Times New Roman" w:cs="Times New Roman"/>
          <w:bCs/>
          <w:sz w:val="20"/>
          <w:szCs w:val="20"/>
        </w:rPr>
        <w:t xml:space="preserve">tilizou-se a correlação de Pearson, o Índice de Moran Global </w:t>
      </w:r>
      <w:r w:rsidR="000E7EC5" w:rsidRPr="00B010DE">
        <w:rPr>
          <w:rFonts w:ascii="Times New Roman" w:hAnsi="Times New Roman" w:cs="Times New Roman"/>
          <w:bCs/>
          <w:sz w:val="20"/>
          <w:szCs w:val="20"/>
        </w:rPr>
        <w:t xml:space="preserve">e a Interpolação Linear Simples. Como resultados </w:t>
      </w:r>
      <w:r w:rsidR="00B20A1C" w:rsidRPr="00B010DE">
        <w:rPr>
          <w:rFonts w:ascii="Times New Roman" w:hAnsi="Times New Roman" w:cs="Times New Roman"/>
          <w:bCs/>
          <w:sz w:val="20"/>
          <w:szCs w:val="20"/>
        </w:rPr>
        <w:t>mapas de distribuição espacial das variáveis e mapa final de suscetibilidade às</w:t>
      </w:r>
      <w:r w:rsidR="008D2DB3" w:rsidRPr="00B010DE">
        <w:rPr>
          <w:rFonts w:ascii="Times New Roman" w:hAnsi="Times New Roman" w:cs="Times New Roman"/>
          <w:bCs/>
          <w:sz w:val="20"/>
          <w:szCs w:val="20"/>
        </w:rPr>
        <w:t xml:space="preserve"> </w:t>
      </w:r>
      <w:r w:rsidR="002562CE" w:rsidRPr="00B010DE">
        <w:rPr>
          <w:rFonts w:ascii="Times New Roman" w:hAnsi="Times New Roman" w:cs="Times New Roman"/>
          <w:bCs/>
          <w:sz w:val="20"/>
          <w:szCs w:val="20"/>
        </w:rPr>
        <w:t>DTHA foram</w:t>
      </w:r>
      <w:r w:rsidR="000E7EC5" w:rsidRPr="00B010DE">
        <w:rPr>
          <w:rFonts w:ascii="Times New Roman" w:hAnsi="Times New Roman" w:cs="Times New Roman"/>
          <w:bCs/>
          <w:sz w:val="20"/>
          <w:szCs w:val="20"/>
        </w:rPr>
        <w:t xml:space="preserve"> organizados</w:t>
      </w:r>
      <w:r w:rsidR="00B20A1C" w:rsidRPr="00B010DE">
        <w:rPr>
          <w:rFonts w:ascii="Times New Roman" w:hAnsi="Times New Roman" w:cs="Times New Roman"/>
          <w:bCs/>
          <w:sz w:val="20"/>
          <w:szCs w:val="20"/>
        </w:rPr>
        <w:t>. Aponta-se associação significativ</w:t>
      </w:r>
      <w:r w:rsidR="00CE0897" w:rsidRPr="00B010DE">
        <w:rPr>
          <w:rFonts w:ascii="Times New Roman" w:hAnsi="Times New Roman" w:cs="Times New Roman"/>
          <w:bCs/>
          <w:sz w:val="20"/>
          <w:szCs w:val="20"/>
        </w:rPr>
        <w:t>a entre a destinação de fezes/</w:t>
      </w:r>
      <w:r w:rsidR="00B20A1C" w:rsidRPr="00B010DE">
        <w:rPr>
          <w:rFonts w:ascii="Times New Roman" w:hAnsi="Times New Roman" w:cs="Times New Roman"/>
          <w:bCs/>
          <w:sz w:val="20"/>
          <w:szCs w:val="20"/>
        </w:rPr>
        <w:t>urina em esgoto e</w:t>
      </w:r>
      <w:r w:rsidR="00FD08AE" w:rsidRPr="00B010DE">
        <w:rPr>
          <w:rFonts w:ascii="Times New Roman" w:hAnsi="Times New Roman" w:cs="Times New Roman"/>
          <w:bCs/>
          <w:sz w:val="20"/>
          <w:szCs w:val="20"/>
        </w:rPr>
        <w:t>,</w:t>
      </w:r>
      <w:r w:rsidR="00B20A1C" w:rsidRPr="00B010DE">
        <w:rPr>
          <w:rFonts w:ascii="Times New Roman" w:hAnsi="Times New Roman" w:cs="Times New Roman"/>
          <w:bCs/>
          <w:sz w:val="20"/>
          <w:szCs w:val="20"/>
        </w:rPr>
        <w:t xml:space="preserve"> o consumo de água sem tratamento com os coeficientes de internação e de óbito pelas DTHA. </w:t>
      </w:r>
      <w:r w:rsidR="00474991" w:rsidRPr="00B010DE">
        <w:rPr>
          <w:rFonts w:ascii="Times New Roman" w:hAnsi="Times New Roman" w:cs="Times New Roman"/>
          <w:bCs/>
          <w:sz w:val="20"/>
          <w:szCs w:val="20"/>
        </w:rPr>
        <w:t xml:space="preserve">Os resultados apresentam a escala </w:t>
      </w:r>
      <w:r w:rsidR="00B20A1C" w:rsidRPr="00B010DE">
        <w:rPr>
          <w:rFonts w:ascii="Times New Roman" w:hAnsi="Times New Roman" w:cs="Times New Roman"/>
          <w:bCs/>
          <w:sz w:val="20"/>
          <w:szCs w:val="20"/>
        </w:rPr>
        <w:t xml:space="preserve">do cálculo de risco, para as DTHA, em mapa temático. </w:t>
      </w:r>
      <w:r w:rsidR="00474991" w:rsidRPr="00B010DE">
        <w:rPr>
          <w:rFonts w:ascii="Times New Roman" w:hAnsi="Times New Roman" w:cs="Times New Roman"/>
          <w:bCs/>
          <w:sz w:val="20"/>
          <w:szCs w:val="20"/>
        </w:rPr>
        <w:t>E</w:t>
      </w:r>
      <w:r w:rsidR="00B20A1C" w:rsidRPr="00B010DE">
        <w:rPr>
          <w:rFonts w:ascii="Times New Roman" w:hAnsi="Times New Roman" w:cs="Times New Roman"/>
          <w:bCs/>
          <w:sz w:val="20"/>
          <w:szCs w:val="20"/>
        </w:rPr>
        <w:t>xiste associação entre a morbimortalidade com variáveis de saneamento, assim como a existência de municípios com grau máximo de suscetibilidade para as DTHA.</w:t>
      </w:r>
    </w:p>
    <w:p w:rsidR="00C934C4" w:rsidRPr="00B010DE" w:rsidRDefault="005D3991" w:rsidP="009C0164">
      <w:pPr>
        <w:autoSpaceDE w:val="0"/>
        <w:autoSpaceDN w:val="0"/>
        <w:adjustRightInd w:val="0"/>
        <w:spacing w:before="120" w:after="120" w:line="240" w:lineRule="auto"/>
        <w:jc w:val="both"/>
        <w:rPr>
          <w:rFonts w:ascii="Times New Roman" w:hAnsi="Times New Roman" w:cs="Times New Roman"/>
          <w:bCs/>
          <w:sz w:val="20"/>
          <w:szCs w:val="20"/>
        </w:rPr>
      </w:pPr>
      <w:r w:rsidRPr="00B010DE">
        <w:rPr>
          <w:rFonts w:ascii="Times New Roman" w:hAnsi="Times New Roman" w:cs="Times New Roman"/>
          <w:bCs/>
          <w:sz w:val="20"/>
          <w:szCs w:val="20"/>
        </w:rPr>
        <w:t>Palavras-chave</w:t>
      </w:r>
      <w:r w:rsidR="00045CB8" w:rsidRPr="00B010DE">
        <w:rPr>
          <w:rFonts w:ascii="Times New Roman" w:hAnsi="Times New Roman" w:cs="Times New Roman"/>
          <w:bCs/>
          <w:sz w:val="20"/>
          <w:szCs w:val="20"/>
        </w:rPr>
        <w:t xml:space="preserve">: </w:t>
      </w:r>
      <w:r w:rsidR="001920F5" w:rsidRPr="00B010DE">
        <w:rPr>
          <w:rFonts w:ascii="Times New Roman" w:hAnsi="Times New Roman" w:cs="Times New Roman"/>
          <w:bCs/>
          <w:sz w:val="20"/>
          <w:szCs w:val="20"/>
        </w:rPr>
        <w:t>contaminação hídrica, poluição ambiental, doenças de transmissão hídrica e alimentar, ambiente e desenvolvimento, sustentabilidade.</w:t>
      </w:r>
    </w:p>
    <w:p w:rsidR="00C934C4" w:rsidRPr="009C0164" w:rsidRDefault="00C934C4" w:rsidP="009C0164">
      <w:pPr>
        <w:autoSpaceDE w:val="0"/>
        <w:autoSpaceDN w:val="0"/>
        <w:adjustRightInd w:val="0"/>
        <w:spacing w:before="120" w:after="120" w:line="240" w:lineRule="auto"/>
        <w:ind w:firstLine="709"/>
        <w:rPr>
          <w:rFonts w:ascii="Times New Roman" w:hAnsi="Times New Roman" w:cs="Times New Roman"/>
          <w:b/>
          <w:bCs/>
        </w:rPr>
      </w:pPr>
    </w:p>
    <w:p w:rsidR="00D93A99" w:rsidRPr="00B010DE" w:rsidRDefault="00A3530A" w:rsidP="00D93A99">
      <w:pPr>
        <w:autoSpaceDE w:val="0"/>
        <w:autoSpaceDN w:val="0"/>
        <w:adjustRightInd w:val="0"/>
        <w:spacing w:before="120" w:after="120" w:line="240" w:lineRule="auto"/>
        <w:jc w:val="center"/>
        <w:rPr>
          <w:rFonts w:ascii="Times New Roman" w:hAnsi="Times New Roman" w:cs="Times New Roman"/>
          <w:b/>
          <w:bCs/>
          <w:sz w:val="28"/>
          <w:szCs w:val="28"/>
          <w:lang w:val="en-US"/>
        </w:rPr>
      </w:pPr>
      <w:r w:rsidRPr="00B010DE">
        <w:rPr>
          <w:rFonts w:ascii="Times New Roman" w:hAnsi="Times New Roman" w:cs="Times New Roman"/>
          <w:b/>
          <w:bCs/>
          <w:sz w:val="28"/>
          <w:szCs w:val="28"/>
          <w:lang w:val="en-US"/>
        </w:rPr>
        <w:t>Spatial analysis of human morbidity and mortality associated with sanitation, waste disposal, water supply and treatment</w:t>
      </w:r>
    </w:p>
    <w:p w:rsidR="00C5385E" w:rsidRPr="00122D8F" w:rsidRDefault="00C5385E" w:rsidP="009C0164">
      <w:pPr>
        <w:autoSpaceDE w:val="0"/>
        <w:autoSpaceDN w:val="0"/>
        <w:adjustRightInd w:val="0"/>
        <w:spacing w:before="120" w:after="120" w:line="240" w:lineRule="auto"/>
        <w:rPr>
          <w:rFonts w:ascii="Times New Roman" w:hAnsi="Times New Roman" w:cs="Times New Roman"/>
          <w:b/>
          <w:bCs/>
          <w:lang w:val="en-US"/>
        </w:rPr>
      </w:pPr>
      <w:r w:rsidRPr="00122D8F">
        <w:rPr>
          <w:rFonts w:ascii="Times New Roman" w:hAnsi="Times New Roman" w:cs="Times New Roman"/>
          <w:b/>
          <w:bCs/>
          <w:lang w:val="en-US"/>
        </w:rPr>
        <w:t>ABSTRACT</w:t>
      </w:r>
    </w:p>
    <w:p w:rsidR="00F54E39" w:rsidRPr="00B010DE" w:rsidRDefault="00045CB8" w:rsidP="00FD08AE">
      <w:pPr>
        <w:autoSpaceDE w:val="0"/>
        <w:autoSpaceDN w:val="0"/>
        <w:adjustRightInd w:val="0"/>
        <w:spacing w:before="120" w:after="120" w:line="240" w:lineRule="auto"/>
        <w:jc w:val="both"/>
        <w:rPr>
          <w:rFonts w:ascii="Times New Roman" w:hAnsi="Times New Roman" w:cs="Times New Roman"/>
          <w:bCs/>
          <w:sz w:val="20"/>
          <w:szCs w:val="20"/>
          <w:lang w:val="en-US"/>
        </w:rPr>
      </w:pPr>
      <w:r w:rsidRPr="00B010DE">
        <w:rPr>
          <w:rFonts w:ascii="Times New Roman" w:hAnsi="Times New Roman" w:cs="Times New Roman"/>
          <w:bCs/>
          <w:sz w:val="20"/>
          <w:szCs w:val="20"/>
          <w:lang w:val="en-US"/>
        </w:rPr>
        <w:t xml:space="preserve">Neglect related to inadequate sanitation and improper disposal of waste become factors that contribute to water contamination, as well as the problem of environmental pollution is notorious. The objective of the study was to analyze and establish the degree of risk of the municipalities of Rio Grande do Sul in relation to human morbidity and mortality associated with sanitation, waste disposal and water supply and treatment. The analysis of the most susceptible areas is relevant, since it allows the planning and execution of the emergent actions, as well as health promotion strategies. This is a quantitative and socioenvironmental study, whose unit of analysis is characterized by the set of hospital admissions and deaths, caused by water and food transmission diseases (DTHA), in relation to water supply and treatment conditions, conditions </w:t>
      </w:r>
      <w:r w:rsidR="00E66B3B" w:rsidRPr="00B010DE">
        <w:rPr>
          <w:rFonts w:ascii="Times New Roman" w:hAnsi="Times New Roman" w:cs="Times New Roman"/>
          <w:bCs/>
          <w:sz w:val="20"/>
          <w:szCs w:val="20"/>
          <w:lang w:val="en-US"/>
        </w:rPr>
        <w:t>sanitation and waste disposal. F</w:t>
      </w:r>
      <w:r w:rsidRPr="00B010DE">
        <w:rPr>
          <w:rFonts w:ascii="Times New Roman" w:hAnsi="Times New Roman" w:cs="Times New Roman"/>
          <w:bCs/>
          <w:sz w:val="20"/>
          <w:szCs w:val="20"/>
          <w:lang w:val="en-US"/>
        </w:rPr>
        <w:t>or the analysis, the Pearson correlation, the Moran Global Index and the Simple Linear Interpolation were used. As results spatial distribution maps of the variables and final map of susceptibility to DTHA were organized. A significant association between the use of feces / urine in sewage and the consumption of untreated water with the hospitalization and death coefficients by DTHA is indicated. The results show the scale of the risk calculation, for the DTHA, in the thematic map. There is an association between morbidity and mortality with sanitation variables, as well as the existence of municipalities with a maximum degree of susceptibility to DTHA.</w:t>
      </w:r>
    </w:p>
    <w:p w:rsidR="00034911" w:rsidRPr="00B010DE" w:rsidRDefault="00C5385E" w:rsidP="00FD08AE">
      <w:pPr>
        <w:autoSpaceDE w:val="0"/>
        <w:autoSpaceDN w:val="0"/>
        <w:adjustRightInd w:val="0"/>
        <w:spacing w:before="120" w:after="120" w:line="240" w:lineRule="auto"/>
        <w:jc w:val="both"/>
        <w:rPr>
          <w:rFonts w:ascii="Times New Roman" w:hAnsi="Times New Roman" w:cs="Times New Roman"/>
          <w:bCs/>
          <w:sz w:val="20"/>
          <w:szCs w:val="20"/>
          <w:lang w:val="en-US"/>
        </w:rPr>
      </w:pPr>
      <w:r w:rsidRPr="00B010DE">
        <w:rPr>
          <w:rFonts w:ascii="Times New Roman" w:hAnsi="Times New Roman" w:cs="Times New Roman"/>
          <w:bCs/>
          <w:sz w:val="20"/>
          <w:szCs w:val="20"/>
          <w:lang w:val="en-US"/>
        </w:rPr>
        <w:t>Keywords:</w:t>
      </w:r>
      <w:r w:rsidR="00045CB8" w:rsidRPr="00B010DE">
        <w:rPr>
          <w:rFonts w:ascii="Times New Roman" w:hAnsi="Times New Roman" w:cs="Times New Roman"/>
          <w:bCs/>
          <w:sz w:val="20"/>
          <w:szCs w:val="20"/>
          <w:lang w:val="en-US"/>
        </w:rPr>
        <w:t xml:space="preserve"> water contamination, environmental pollution, water and food transmission diseases, environment and development, sustainability.</w:t>
      </w:r>
    </w:p>
    <w:p w:rsidR="00D66054" w:rsidRPr="00045CB8" w:rsidRDefault="00D66054" w:rsidP="009C0164">
      <w:pPr>
        <w:autoSpaceDE w:val="0"/>
        <w:autoSpaceDN w:val="0"/>
        <w:adjustRightInd w:val="0"/>
        <w:spacing w:before="120" w:after="120" w:line="240" w:lineRule="auto"/>
        <w:ind w:firstLine="709"/>
        <w:jc w:val="both"/>
        <w:rPr>
          <w:rFonts w:ascii="Times New Roman" w:hAnsi="Times New Roman" w:cs="Times New Roman"/>
          <w:lang w:val="en-US"/>
        </w:rPr>
      </w:pPr>
    </w:p>
    <w:p w:rsidR="00D66054" w:rsidRPr="009C0164" w:rsidRDefault="00D66054" w:rsidP="009C0164">
      <w:pPr>
        <w:autoSpaceDE w:val="0"/>
        <w:autoSpaceDN w:val="0"/>
        <w:adjustRightInd w:val="0"/>
        <w:spacing w:before="120" w:after="120" w:line="240" w:lineRule="auto"/>
        <w:jc w:val="both"/>
        <w:rPr>
          <w:rFonts w:ascii="Times New Roman" w:hAnsi="Times New Roman" w:cs="Times New Roman"/>
          <w:b/>
        </w:rPr>
      </w:pPr>
      <w:r w:rsidRPr="009C0164">
        <w:rPr>
          <w:rFonts w:ascii="Times New Roman" w:hAnsi="Times New Roman" w:cs="Times New Roman"/>
          <w:b/>
        </w:rPr>
        <w:t>Introdução</w:t>
      </w:r>
    </w:p>
    <w:p w:rsidR="00B01305" w:rsidRDefault="00B01305" w:rsidP="009C0164">
      <w:pPr>
        <w:autoSpaceDE w:val="0"/>
        <w:autoSpaceDN w:val="0"/>
        <w:adjustRightInd w:val="0"/>
        <w:spacing w:before="120" w:after="120" w:line="240" w:lineRule="auto"/>
        <w:ind w:firstLine="709"/>
        <w:jc w:val="both"/>
        <w:rPr>
          <w:rFonts w:ascii="Times New Roman" w:hAnsi="Times New Roman" w:cs="Times New Roman"/>
        </w:rPr>
        <w:sectPr w:rsidR="00B01305" w:rsidSect="00B010DE">
          <w:headerReference w:type="default" r:id="rId11"/>
          <w:footerReference w:type="default" r:id="rId12"/>
          <w:footnotePr>
            <w:numFmt w:val="lowerLetter"/>
          </w:footnotePr>
          <w:type w:val="continuous"/>
          <w:pgSz w:w="11906" w:h="16838"/>
          <w:pgMar w:top="1134" w:right="1134" w:bottom="1134" w:left="1134" w:header="567" w:footer="567" w:gutter="0"/>
          <w:pgNumType w:start="2355"/>
          <w:cols w:space="708"/>
          <w:docGrid w:linePitch="360"/>
        </w:sectPr>
      </w:pPr>
    </w:p>
    <w:p w:rsidR="009C58A5" w:rsidRPr="009C0164" w:rsidRDefault="002562CE" w:rsidP="009C0164">
      <w:pPr>
        <w:autoSpaceDE w:val="0"/>
        <w:autoSpaceDN w:val="0"/>
        <w:adjustRightInd w:val="0"/>
        <w:spacing w:before="120" w:after="120" w:line="240" w:lineRule="auto"/>
        <w:ind w:firstLine="709"/>
        <w:jc w:val="both"/>
        <w:rPr>
          <w:rFonts w:ascii="Times New Roman" w:hAnsi="Times New Roman" w:cs="Times New Roman"/>
        </w:rPr>
      </w:pPr>
      <w:r>
        <w:rPr>
          <w:rFonts w:ascii="Times New Roman" w:hAnsi="Times New Roman" w:cs="Times New Roman"/>
        </w:rPr>
        <w:t xml:space="preserve">A </w:t>
      </w:r>
      <w:r w:rsidRPr="009C0164">
        <w:rPr>
          <w:rFonts w:ascii="Times New Roman" w:hAnsi="Times New Roman" w:cs="Times New Roman"/>
        </w:rPr>
        <w:t>água</w:t>
      </w:r>
      <w:r w:rsidR="0010565B" w:rsidRPr="009C0164">
        <w:rPr>
          <w:rFonts w:ascii="Times New Roman" w:hAnsi="Times New Roman" w:cs="Times New Roman"/>
        </w:rPr>
        <w:t xml:space="preserve"> um recurso natural insubstituível, </w:t>
      </w:r>
      <w:r w:rsidR="009C58A5" w:rsidRPr="009C0164">
        <w:rPr>
          <w:rFonts w:ascii="Times New Roman" w:hAnsi="Times New Roman" w:cs="Times New Roman"/>
        </w:rPr>
        <w:t xml:space="preserve">de notória relevância para a </w:t>
      </w:r>
      <w:r w:rsidR="0010565B" w:rsidRPr="009C0164">
        <w:rPr>
          <w:rFonts w:ascii="Times New Roman" w:hAnsi="Times New Roman" w:cs="Times New Roman"/>
        </w:rPr>
        <w:t>manutenção da vida</w:t>
      </w:r>
      <w:r w:rsidR="00525E25">
        <w:rPr>
          <w:rFonts w:ascii="Times New Roman" w:hAnsi="Times New Roman" w:cs="Times New Roman"/>
        </w:rPr>
        <w:t xml:space="preserve"> na terra </w:t>
      </w:r>
      <w:r w:rsidR="003770AD">
        <w:rPr>
          <w:rFonts w:ascii="Times New Roman" w:hAnsi="Times New Roman" w:cs="Times New Roman"/>
        </w:rPr>
        <w:t xml:space="preserve">(Araújo et al., 2011; </w:t>
      </w:r>
      <w:r w:rsidR="0010565B" w:rsidRPr="009C0164">
        <w:rPr>
          <w:rFonts w:ascii="Times New Roman" w:hAnsi="Times New Roman" w:cs="Times New Roman"/>
        </w:rPr>
        <w:t>Wang et al., 2014)</w:t>
      </w:r>
      <w:r w:rsidR="009C58A5" w:rsidRPr="009C0164">
        <w:rPr>
          <w:rFonts w:ascii="Times New Roman" w:hAnsi="Times New Roman" w:cs="Times New Roman"/>
        </w:rPr>
        <w:t>, com importante função fisiológica para o ser humano</w:t>
      </w:r>
      <w:r w:rsidR="00525E25">
        <w:rPr>
          <w:rFonts w:ascii="Times New Roman" w:hAnsi="Times New Roman" w:cs="Times New Roman"/>
        </w:rPr>
        <w:t xml:space="preserve">. </w:t>
      </w:r>
      <w:r w:rsidR="00A0708D" w:rsidRPr="009C0164">
        <w:rPr>
          <w:rFonts w:ascii="Times New Roman" w:hAnsi="Times New Roman" w:cs="Times New Roman"/>
        </w:rPr>
        <w:t>O conceito de vida, como se conhece, só é possível pela disponibilidade desse recurso, o que torna tão importante o diálogo sobre ele.</w:t>
      </w:r>
    </w:p>
    <w:p w:rsidR="00A0708D" w:rsidRPr="009C0164" w:rsidRDefault="009C58A5"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bCs/>
        </w:rPr>
        <w:t xml:space="preserve">Em relação à saúde humana, a </w:t>
      </w:r>
      <w:r w:rsidR="00DF7C6B" w:rsidRPr="009C0164">
        <w:rPr>
          <w:rFonts w:ascii="Times New Roman" w:hAnsi="Times New Roman" w:cs="Times New Roman"/>
          <w:bCs/>
        </w:rPr>
        <w:t>água encontra-se presente em cerca d</w:t>
      </w:r>
      <w:r w:rsidR="00A0708D" w:rsidRPr="009C0164">
        <w:rPr>
          <w:rFonts w:ascii="Times New Roman" w:hAnsi="Times New Roman" w:cs="Times New Roman"/>
          <w:bCs/>
        </w:rPr>
        <w:t>e 75% d</w:t>
      </w:r>
      <w:r w:rsidR="00A71978">
        <w:rPr>
          <w:rFonts w:ascii="Times New Roman" w:hAnsi="Times New Roman" w:cs="Times New Roman"/>
          <w:bCs/>
        </w:rPr>
        <w:t>a massa corporal</w:t>
      </w:r>
      <w:r w:rsidR="00A71978">
        <w:rPr>
          <w:rStyle w:val="Refdenotaderodap"/>
          <w:rFonts w:ascii="Times New Roman" w:hAnsi="Times New Roman" w:cs="Times New Roman"/>
          <w:bCs/>
        </w:rPr>
        <w:footnoteReference w:id="1"/>
      </w:r>
      <w:r w:rsidRPr="009C0164">
        <w:rPr>
          <w:rFonts w:ascii="Times New Roman" w:hAnsi="Times New Roman" w:cs="Times New Roman"/>
          <w:bCs/>
        </w:rPr>
        <w:t xml:space="preserve">, requerendo </w:t>
      </w:r>
      <w:r w:rsidR="00B03FF9" w:rsidRPr="009C0164">
        <w:rPr>
          <w:rFonts w:ascii="Times New Roman" w:hAnsi="Times New Roman" w:cs="Times New Roman"/>
          <w:bCs/>
        </w:rPr>
        <w:t>o consumo médio</w:t>
      </w:r>
      <w:r w:rsidR="00874C45" w:rsidRPr="009C0164">
        <w:rPr>
          <w:rFonts w:ascii="Times New Roman" w:hAnsi="Times New Roman" w:cs="Times New Roman"/>
          <w:bCs/>
        </w:rPr>
        <w:t xml:space="preserve"> diário</w:t>
      </w:r>
      <w:r w:rsidR="00B03FF9" w:rsidRPr="009C0164">
        <w:rPr>
          <w:rFonts w:ascii="Times New Roman" w:hAnsi="Times New Roman" w:cs="Times New Roman"/>
          <w:bCs/>
        </w:rPr>
        <w:t xml:space="preserve"> de cerca de</w:t>
      </w:r>
      <w:r w:rsidRPr="009C0164">
        <w:rPr>
          <w:rFonts w:ascii="Times New Roman" w:hAnsi="Times New Roman" w:cs="Times New Roman"/>
        </w:rPr>
        <w:t xml:space="preserve"> três litros </w:t>
      </w:r>
      <w:r w:rsidR="00874C45" w:rsidRPr="009C0164">
        <w:rPr>
          <w:rFonts w:ascii="Times New Roman" w:hAnsi="Times New Roman" w:cs="Times New Roman"/>
        </w:rPr>
        <w:t>da substância (</w:t>
      </w:r>
      <w:r w:rsidR="00B03FF9" w:rsidRPr="009C0164">
        <w:rPr>
          <w:rFonts w:ascii="Times New Roman" w:hAnsi="Times New Roman" w:cs="Times New Roman"/>
        </w:rPr>
        <w:t xml:space="preserve">Soto e Reina, 2012). Estima-se que o ser humano utiliza em torno de </w:t>
      </w:r>
      <w:r w:rsidRPr="009C0164">
        <w:rPr>
          <w:rFonts w:ascii="Times New Roman" w:hAnsi="Times New Roman" w:cs="Times New Roman"/>
        </w:rPr>
        <w:t>vinte litros de água potável</w:t>
      </w:r>
      <w:r w:rsidR="00B03FF9" w:rsidRPr="009C0164">
        <w:rPr>
          <w:rFonts w:ascii="Times New Roman" w:hAnsi="Times New Roman" w:cs="Times New Roman"/>
        </w:rPr>
        <w:t xml:space="preserve"> ao dia para o desenvolvimento de </w:t>
      </w:r>
      <w:r w:rsidRPr="009C0164">
        <w:rPr>
          <w:rFonts w:ascii="Times New Roman" w:hAnsi="Times New Roman" w:cs="Times New Roman"/>
        </w:rPr>
        <w:t xml:space="preserve">atividades antropogênicas </w:t>
      </w:r>
      <w:r w:rsidR="0016743C">
        <w:rPr>
          <w:rFonts w:ascii="Times New Roman" w:hAnsi="Times New Roman" w:cs="Times New Roman"/>
        </w:rPr>
        <w:t>(Soto e Reina, 2012</w:t>
      </w:r>
      <w:r w:rsidR="00A0708D" w:rsidRPr="009C0164">
        <w:rPr>
          <w:rFonts w:ascii="Times New Roman" w:hAnsi="Times New Roman" w:cs="Times New Roman"/>
        </w:rPr>
        <w:t>), relacionados às atividades da indústria, agricultura, mineração, transportes, construção, habitações, entre outras.</w:t>
      </w:r>
    </w:p>
    <w:p w:rsidR="00714103" w:rsidRPr="009C0164" w:rsidRDefault="00A0708D"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rPr>
        <w:t xml:space="preserve">Sabe-se que aproximadamente 97% das águas do planeta </w:t>
      </w:r>
      <w:r w:rsidR="00FD08AE">
        <w:rPr>
          <w:rFonts w:ascii="Times New Roman" w:hAnsi="Times New Roman" w:cs="Times New Roman"/>
        </w:rPr>
        <w:t>são salgadas:</w:t>
      </w:r>
      <w:r w:rsidRPr="009C0164">
        <w:rPr>
          <w:rFonts w:ascii="Times New Roman" w:hAnsi="Times New Roman" w:cs="Times New Roman"/>
        </w:rPr>
        <w:t>2,49</w:t>
      </w:r>
      <w:r w:rsidR="00D416E9" w:rsidRPr="009C0164">
        <w:rPr>
          <w:rFonts w:ascii="Times New Roman" w:hAnsi="Times New Roman" w:cs="Times New Roman"/>
        </w:rPr>
        <w:t>%</w:t>
      </w:r>
      <w:r w:rsidRPr="009C0164">
        <w:rPr>
          <w:rFonts w:ascii="Times New Roman" w:hAnsi="Times New Roman" w:cs="Times New Roman"/>
        </w:rPr>
        <w:t xml:space="preserve"> concentram-se </w:t>
      </w:r>
      <w:r w:rsidR="00D416E9" w:rsidRPr="009C0164">
        <w:rPr>
          <w:rFonts w:ascii="Times New Roman" w:hAnsi="Times New Roman" w:cs="Times New Roman"/>
        </w:rPr>
        <w:t xml:space="preserve">em geleiras ou </w:t>
      </w:r>
      <w:r w:rsidRPr="009C0164">
        <w:rPr>
          <w:rFonts w:ascii="Times New Roman" w:hAnsi="Times New Roman" w:cs="Times New Roman"/>
        </w:rPr>
        <w:t xml:space="preserve">em </w:t>
      </w:r>
      <w:r w:rsidR="00D416E9" w:rsidRPr="009C0164">
        <w:rPr>
          <w:rFonts w:ascii="Times New Roman" w:hAnsi="Times New Roman" w:cs="Times New Roman"/>
        </w:rPr>
        <w:t>regiões subterrâneas de difíci</w:t>
      </w:r>
      <w:r w:rsidRPr="009C0164">
        <w:rPr>
          <w:rFonts w:ascii="Times New Roman" w:hAnsi="Times New Roman" w:cs="Times New Roman"/>
        </w:rPr>
        <w:t>l acesso e</w:t>
      </w:r>
      <w:r w:rsidR="00FD08AE">
        <w:rPr>
          <w:rFonts w:ascii="Times New Roman" w:hAnsi="Times New Roman" w:cs="Times New Roman"/>
        </w:rPr>
        <w:t>,</w:t>
      </w:r>
      <w:r w:rsidR="00F420E6" w:rsidRPr="009C0164">
        <w:rPr>
          <w:rFonts w:ascii="Times New Roman" w:hAnsi="Times New Roman" w:cs="Times New Roman"/>
        </w:rPr>
        <w:t xml:space="preserve"> aproximadamente</w:t>
      </w:r>
      <w:r w:rsidR="00FD08AE">
        <w:rPr>
          <w:rFonts w:ascii="Times New Roman" w:hAnsi="Times New Roman" w:cs="Times New Roman"/>
        </w:rPr>
        <w:t>,</w:t>
      </w:r>
      <w:r w:rsidR="00F420E6" w:rsidRPr="009C0164">
        <w:rPr>
          <w:rFonts w:ascii="Times New Roman" w:hAnsi="Times New Roman" w:cs="Times New Roman"/>
        </w:rPr>
        <w:t xml:space="preserve"> 0,007% da</w:t>
      </w:r>
      <w:r w:rsidR="00D416E9" w:rsidRPr="009C0164">
        <w:rPr>
          <w:rFonts w:ascii="Times New Roman" w:hAnsi="Times New Roman" w:cs="Times New Roman"/>
        </w:rPr>
        <w:t xml:space="preserve"> água doce</w:t>
      </w:r>
      <w:r w:rsidR="00F420E6" w:rsidRPr="009C0164">
        <w:rPr>
          <w:rFonts w:ascii="Times New Roman" w:hAnsi="Times New Roman" w:cs="Times New Roman"/>
        </w:rPr>
        <w:t xml:space="preserve"> encontra-se </w:t>
      </w:r>
      <w:r w:rsidR="00541971" w:rsidRPr="009C0164">
        <w:rPr>
          <w:rFonts w:ascii="Times New Roman" w:hAnsi="Times New Roman" w:cs="Times New Roman"/>
        </w:rPr>
        <w:t>em rios, lagos e na atmosfera (Machado, 2003).</w:t>
      </w:r>
      <w:r w:rsidR="00FD08AE">
        <w:rPr>
          <w:rFonts w:ascii="Times New Roman" w:hAnsi="Times New Roman" w:cs="Times New Roman"/>
        </w:rPr>
        <w:t xml:space="preserve"> Diante disso, </w:t>
      </w:r>
      <w:r w:rsidR="00A46190">
        <w:rPr>
          <w:rFonts w:ascii="Times New Roman" w:hAnsi="Times New Roman" w:cs="Times New Roman"/>
        </w:rPr>
        <w:t>existe a</w:t>
      </w:r>
      <w:r w:rsidR="00A46190" w:rsidRPr="009C0164">
        <w:rPr>
          <w:rFonts w:ascii="Times New Roman" w:hAnsi="Times New Roman" w:cs="Times New Roman"/>
        </w:rPr>
        <w:t xml:space="preserve"> necessidade </w:t>
      </w:r>
      <w:r w:rsidR="00F420E6" w:rsidRPr="009C0164">
        <w:rPr>
          <w:rFonts w:ascii="Times New Roman" w:hAnsi="Times New Roman" w:cs="Times New Roman"/>
        </w:rPr>
        <w:t>da gestão</w:t>
      </w:r>
      <w:r w:rsidR="000B2B55">
        <w:rPr>
          <w:rFonts w:ascii="Times New Roman" w:hAnsi="Times New Roman" w:cs="Times New Roman"/>
        </w:rPr>
        <w:t xml:space="preserve"> dos recursos hídricos, para </w:t>
      </w:r>
      <w:r w:rsidR="002562CE">
        <w:rPr>
          <w:rFonts w:ascii="Times New Roman" w:hAnsi="Times New Roman" w:cs="Times New Roman"/>
        </w:rPr>
        <w:t>a manutenção</w:t>
      </w:r>
      <w:r w:rsidR="000B2B55">
        <w:rPr>
          <w:rFonts w:ascii="Times New Roman" w:hAnsi="Times New Roman" w:cs="Times New Roman"/>
        </w:rPr>
        <w:t xml:space="preserve"> das </w:t>
      </w:r>
      <w:r w:rsidR="000B2B55" w:rsidRPr="009C0164">
        <w:rPr>
          <w:rFonts w:ascii="Times New Roman" w:hAnsi="Times New Roman" w:cs="Times New Roman"/>
        </w:rPr>
        <w:t>espécies</w:t>
      </w:r>
      <w:r w:rsidR="00F420E6" w:rsidRPr="009C0164">
        <w:rPr>
          <w:rFonts w:ascii="Times New Roman" w:hAnsi="Times New Roman" w:cs="Times New Roman"/>
        </w:rPr>
        <w:t>.</w:t>
      </w:r>
    </w:p>
    <w:p w:rsidR="00D416E9" w:rsidRPr="009C0164" w:rsidRDefault="00844FDD"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rPr>
        <w:t xml:space="preserve">Atualmente </w:t>
      </w:r>
      <w:r w:rsidR="00D416E9" w:rsidRPr="009C0164">
        <w:rPr>
          <w:rFonts w:ascii="Times New Roman" w:hAnsi="Times New Roman" w:cs="Times New Roman"/>
        </w:rPr>
        <w:t>quase 900 milhões de pessoas</w:t>
      </w:r>
      <w:r w:rsidRPr="009C0164">
        <w:rPr>
          <w:rFonts w:ascii="Times New Roman" w:hAnsi="Times New Roman" w:cs="Times New Roman"/>
        </w:rPr>
        <w:t xml:space="preserve"> encontram-se</w:t>
      </w:r>
      <w:r w:rsidR="00D416E9" w:rsidRPr="009C0164">
        <w:rPr>
          <w:rFonts w:ascii="Times New Roman" w:hAnsi="Times New Roman" w:cs="Times New Roman"/>
        </w:rPr>
        <w:t xml:space="preserve"> sem acesso à água potável e 2,6 milhões, ou seja, </w:t>
      </w:r>
      <w:r w:rsidRPr="009C0164">
        <w:rPr>
          <w:rFonts w:ascii="Times New Roman" w:hAnsi="Times New Roman" w:cs="Times New Roman"/>
        </w:rPr>
        <w:t xml:space="preserve">cerca de 40% dos habitantes do planeta, não possuem acesso aos </w:t>
      </w:r>
      <w:r w:rsidR="00D416E9" w:rsidRPr="009C0164">
        <w:rPr>
          <w:rFonts w:ascii="Times New Roman" w:hAnsi="Times New Roman" w:cs="Times New Roman"/>
        </w:rPr>
        <w:t xml:space="preserve">serviços de </w:t>
      </w:r>
      <w:r w:rsidR="00D416E9" w:rsidRPr="000B40F7">
        <w:rPr>
          <w:rFonts w:ascii="Times New Roman" w:hAnsi="Times New Roman" w:cs="Times New Roman"/>
        </w:rPr>
        <w:t>saneamento básico</w:t>
      </w:r>
      <w:r w:rsidRPr="000B40F7">
        <w:rPr>
          <w:rFonts w:ascii="Times New Roman" w:hAnsi="Times New Roman" w:cs="Times New Roman"/>
        </w:rPr>
        <w:t>,</w:t>
      </w:r>
      <w:r w:rsidR="000B40F7" w:rsidRPr="000B40F7">
        <w:rPr>
          <w:rFonts w:ascii="Times New Roman" w:hAnsi="Times New Roman" w:cs="Times New Roman"/>
        </w:rPr>
        <w:t xml:space="preserve"> acarretando riscos em relação à </w:t>
      </w:r>
      <w:r w:rsidR="00881D6C" w:rsidRPr="000B40F7">
        <w:rPr>
          <w:rFonts w:ascii="Times New Roman" w:hAnsi="Times New Roman" w:cs="Times New Roman"/>
        </w:rPr>
        <w:t>qualidade da água</w:t>
      </w:r>
      <w:r w:rsidR="00D416E9" w:rsidRPr="000B40F7">
        <w:rPr>
          <w:rFonts w:ascii="Times New Roman" w:hAnsi="Times New Roman" w:cs="Times New Roman"/>
        </w:rPr>
        <w:t>.</w:t>
      </w:r>
      <w:r w:rsidR="009A48DC" w:rsidRPr="000B40F7">
        <w:rPr>
          <w:rFonts w:ascii="Times New Roman" w:hAnsi="Times New Roman" w:cs="Times New Roman"/>
        </w:rPr>
        <w:t xml:space="preserve"> Reconheceu</w:t>
      </w:r>
      <w:r w:rsidR="009A48DC" w:rsidRPr="009C0164">
        <w:rPr>
          <w:rFonts w:ascii="Times New Roman" w:hAnsi="Times New Roman" w:cs="Times New Roman"/>
        </w:rPr>
        <w:t xml:space="preserve">-se a água e o saneamento como direitos humanos pela </w:t>
      </w:r>
      <w:r w:rsidR="00D416E9" w:rsidRPr="009C0164">
        <w:rPr>
          <w:rFonts w:ascii="Times New Roman" w:hAnsi="Times New Roman" w:cs="Times New Roman"/>
        </w:rPr>
        <w:t>Organização das Nações Unidas (ONU),</w:t>
      </w:r>
      <w:r w:rsidR="009A48DC" w:rsidRPr="009C0164">
        <w:rPr>
          <w:rFonts w:ascii="Times New Roman" w:hAnsi="Times New Roman" w:cs="Times New Roman"/>
        </w:rPr>
        <w:t xml:space="preserve"> no processo de edificação das </w:t>
      </w:r>
      <w:r w:rsidR="00D416E9" w:rsidRPr="009C0164">
        <w:rPr>
          <w:rFonts w:ascii="Times New Roman" w:hAnsi="Times New Roman" w:cs="Times New Roman"/>
        </w:rPr>
        <w:t>Metas</w:t>
      </w:r>
      <w:r w:rsidR="00C400C2">
        <w:rPr>
          <w:rFonts w:ascii="Times New Roman" w:hAnsi="Times New Roman" w:cs="Times New Roman"/>
        </w:rPr>
        <w:t xml:space="preserve"> de Desenvolvimento do Milênio </w:t>
      </w:r>
      <w:r w:rsidR="000B0743" w:rsidRPr="009C0164">
        <w:rPr>
          <w:rFonts w:ascii="Times New Roman" w:hAnsi="Times New Roman" w:cs="Times New Roman"/>
        </w:rPr>
        <w:t>(ONU, 2019).</w:t>
      </w:r>
    </w:p>
    <w:p w:rsidR="00170753" w:rsidRPr="009C0164" w:rsidRDefault="00525E25" w:rsidP="009C0164">
      <w:pPr>
        <w:autoSpaceDE w:val="0"/>
        <w:autoSpaceDN w:val="0"/>
        <w:adjustRightInd w:val="0"/>
        <w:spacing w:before="120" w:after="120" w:line="240" w:lineRule="auto"/>
        <w:ind w:firstLine="709"/>
        <w:jc w:val="both"/>
        <w:rPr>
          <w:rFonts w:ascii="Times New Roman" w:hAnsi="Times New Roman" w:cs="Times New Roman"/>
        </w:rPr>
      </w:pPr>
      <w:r>
        <w:rPr>
          <w:rFonts w:ascii="Times New Roman" w:hAnsi="Times New Roman" w:cs="Times New Roman"/>
        </w:rPr>
        <w:t xml:space="preserve">A </w:t>
      </w:r>
      <w:r w:rsidR="001B2142" w:rsidRPr="009C0164">
        <w:rPr>
          <w:rFonts w:ascii="Times New Roman" w:hAnsi="Times New Roman" w:cs="Times New Roman"/>
        </w:rPr>
        <w:t xml:space="preserve">Resolução 64/292, de 28 de julho </w:t>
      </w:r>
      <w:r w:rsidR="00EA6B9D" w:rsidRPr="009C0164">
        <w:rPr>
          <w:rFonts w:ascii="Times New Roman" w:hAnsi="Times New Roman" w:cs="Times New Roman"/>
        </w:rPr>
        <w:t xml:space="preserve">de 2010, da ONU, </w:t>
      </w:r>
      <w:r>
        <w:rPr>
          <w:rFonts w:ascii="Times New Roman" w:hAnsi="Times New Roman" w:cs="Times New Roman"/>
        </w:rPr>
        <w:t>r</w:t>
      </w:r>
      <w:r w:rsidR="00EA6B9D" w:rsidRPr="009C0164">
        <w:rPr>
          <w:rFonts w:ascii="Times New Roman" w:hAnsi="Times New Roman" w:cs="Times New Roman"/>
        </w:rPr>
        <w:t>econhece o</w:t>
      </w:r>
      <w:r w:rsidR="001B2142" w:rsidRPr="009C0164">
        <w:rPr>
          <w:rFonts w:ascii="Times New Roman" w:hAnsi="Times New Roman" w:cs="Times New Roman"/>
        </w:rPr>
        <w:t xml:space="preserve"> direito humano à água e </w:t>
      </w:r>
      <w:r w:rsidR="0023469D">
        <w:rPr>
          <w:rFonts w:ascii="Times New Roman" w:hAnsi="Times New Roman" w:cs="Times New Roman"/>
        </w:rPr>
        <w:t xml:space="preserve">ao </w:t>
      </w:r>
      <w:r w:rsidR="001B2142" w:rsidRPr="009C0164">
        <w:rPr>
          <w:rFonts w:ascii="Times New Roman" w:hAnsi="Times New Roman" w:cs="Times New Roman"/>
        </w:rPr>
        <w:t>saneamento</w:t>
      </w:r>
      <w:r w:rsidR="001B2142" w:rsidRPr="009C0164">
        <w:rPr>
          <w:rStyle w:val="Refdenotaderodap"/>
          <w:rFonts w:ascii="Times New Roman" w:hAnsi="Times New Roman" w:cs="Times New Roman"/>
        </w:rPr>
        <w:footnoteReference w:id="2"/>
      </w:r>
      <w:r w:rsidR="001B2142" w:rsidRPr="009C0164">
        <w:rPr>
          <w:rFonts w:ascii="Times New Roman" w:hAnsi="Times New Roman" w:cs="Times New Roman"/>
        </w:rPr>
        <w:t xml:space="preserve">. </w:t>
      </w:r>
      <w:r w:rsidR="00170753" w:rsidRPr="009C0164">
        <w:rPr>
          <w:rFonts w:ascii="Times New Roman" w:hAnsi="Times New Roman" w:cs="Times New Roman"/>
        </w:rPr>
        <w:t xml:space="preserve">O documento corrobora a </w:t>
      </w:r>
      <w:r w:rsidR="00170753" w:rsidRPr="009C0164">
        <w:rPr>
          <w:rFonts w:ascii="Times New Roman" w:hAnsi="Times New Roman" w:cs="Times New Roman"/>
        </w:rPr>
        <w:t xml:space="preserve">necessidade do acesso à água de </w:t>
      </w:r>
      <w:r w:rsidR="00950A9F">
        <w:rPr>
          <w:rFonts w:ascii="Times New Roman" w:hAnsi="Times New Roman" w:cs="Times New Roman"/>
        </w:rPr>
        <w:t>qualidade para a integralidade da</w:t>
      </w:r>
      <w:r w:rsidR="00170753" w:rsidRPr="009C0164">
        <w:rPr>
          <w:rFonts w:ascii="Times New Roman" w:hAnsi="Times New Roman" w:cs="Times New Roman"/>
        </w:rPr>
        <w:t xml:space="preserve"> saúde</w:t>
      </w:r>
      <w:r w:rsidR="00950A9F">
        <w:rPr>
          <w:rFonts w:ascii="Times New Roman" w:hAnsi="Times New Roman" w:cs="Times New Roman"/>
        </w:rPr>
        <w:t xml:space="preserve"> humana</w:t>
      </w:r>
      <w:r w:rsidR="00170753" w:rsidRPr="009C0164">
        <w:rPr>
          <w:rFonts w:ascii="Times New Roman" w:hAnsi="Times New Roman" w:cs="Times New Roman"/>
        </w:rPr>
        <w:t xml:space="preserve">. Busca-se </w:t>
      </w:r>
      <w:r w:rsidR="00D416E9" w:rsidRPr="009C0164">
        <w:rPr>
          <w:rFonts w:ascii="Times New Roman" w:hAnsi="Times New Roman" w:cs="Times New Roman"/>
        </w:rPr>
        <w:t xml:space="preserve">assegurar o direito humano aos recursos </w:t>
      </w:r>
      <w:r w:rsidR="00170753" w:rsidRPr="009C0164">
        <w:rPr>
          <w:rFonts w:ascii="Times New Roman" w:hAnsi="Times New Roman" w:cs="Times New Roman"/>
        </w:rPr>
        <w:t>hídricos potáveis, caracterizados enquanto recurso natural e patrimônio comum.</w:t>
      </w:r>
    </w:p>
    <w:p w:rsidR="00DF7C6B" w:rsidRDefault="00904828"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Integram-se como aspectos que mais fortemente implicam sobre a</w:t>
      </w:r>
      <w:r w:rsidR="00DF7C6B" w:rsidRPr="009C0164">
        <w:rPr>
          <w:rFonts w:ascii="Times New Roman" w:hAnsi="Times New Roman" w:cs="Times New Roman"/>
          <w:bCs/>
        </w:rPr>
        <w:t xml:space="preserve"> qualidade </w:t>
      </w:r>
      <w:r w:rsidR="005110B2" w:rsidRPr="009C0164">
        <w:rPr>
          <w:rFonts w:ascii="Times New Roman" w:hAnsi="Times New Roman" w:cs="Times New Roman"/>
          <w:bCs/>
        </w:rPr>
        <w:t xml:space="preserve">dos recursos hídricos </w:t>
      </w:r>
      <w:r w:rsidRPr="009C0164">
        <w:rPr>
          <w:rFonts w:ascii="Times New Roman" w:hAnsi="Times New Roman" w:cs="Times New Roman"/>
          <w:bCs/>
        </w:rPr>
        <w:t>as con</w:t>
      </w:r>
      <w:r w:rsidR="00DF7C6B" w:rsidRPr="009C0164">
        <w:rPr>
          <w:rFonts w:ascii="Times New Roman" w:hAnsi="Times New Roman" w:cs="Times New Roman"/>
          <w:bCs/>
        </w:rPr>
        <w:t>dições geoló</w:t>
      </w:r>
      <w:r w:rsidRPr="009C0164">
        <w:rPr>
          <w:rFonts w:ascii="Times New Roman" w:hAnsi="Times New Roman" w:cs="Times New Roman"/>
          <w:bCs/>
        </w:rPr>
        <w:t>gicas e geomorfológicas, de uso e co</w:t>
      </w:r>
      <w:r w:rsidR="00DF7C6B" w:rsidRPr="009C0164">
        <w:rPr>
          <w:rFonts w:ascii="Times New Roman" w:hAnsi="Times New Roman" w:cs="Times New Roman"/>
          <w:bCs/>
        </w:rPr>
        <w:t xml:space="preserve">bertura </w:t>
      </w:r>
      <w:r w:rsidRPr="009C0164">
        <w:rPr>
          <w:rFonts w:ascii="Times New Roman" w:hAnsi="Times New Roman" w:cs="Times New Roman"/>
          <w:bCs/>
        </w:rPr>
        <w:t>do solo da bacia de drenagem, as atividades antrópicas, a poluição ambiental, a contaminação do solo, entre outros</w:t>
      </w:r>
      <w:r w:rsidR="00DF7C6B" w:rsidRPr="009C0164">
        <w:rPr>
          <w:rFonts w:ascii="Times New Roman" w:hAnsi="Times New Roman" w:cs="Times New Roman"/>
          <w:bCs/>
        </w:rPr>
        <w:t xml:space="preserve">. </w:t>
      </w:r>
      <w:r w:rsidRPr="009C0164">
        <w:rPr>
          <w:rFonts w:ascii="Times New Roman" w:hAnsi="Times New Roman" w:cs="Times New Roman"/>
          <w:bCs/>
        </w:rPr>
        <w:t>Citam-se enquanto ações antrópicas prejudiciais à qualidade dos recursos hídricos</w:t>
      </w:r>
      <w:r w:rsidR="00CF7175">
        <w:rPr>
          <w:rFonts w:ascii="Times New Roman" w:hAnsi="Times New Roman" w:cs="Times New Roman"/>
          <w:bCs/>
        </w:rPr>
        <w:t>,</w:t>
      </w:r>
      <w:r w:rsidRPr="009C0164">
        <w:rPr>
          <w:rFonts w:ascii="Times New Roman" w:hAnsi="Times New Roman" w:cs="Times New Roman"/>
          <w:bCs/>
        </w:rPr>
        <w:t xml:space="preserve"> principalmente</w:t>
      </w:r>
      <w:r w:rsidR="00CF7175">
        <w:rPr>
          <w:rFonts w:ascii="Times New Roman" w:hAnsi="Times New Roman" w:cs="Times New Roman"/>
          <w:bCs/>
        </w:rPr>
        <w:t>,</w:t>
      </w:r>
      <w:r w:rsidRPr="009C0164">
        <w:rPr>
          <w:rFonts w:ascii="Times New Roman" w:hAnsi="Times New Roman" w:cs="Times New Roman"/>
          <w:bCs/>
        </w:rPr>
        <w:t xml:space="preserve"> a destinação inadequada de esgoto nos sistemas hídricos, o </w:t>
      </w:r>
      <w:r w:rsidR="00DF7C6B" w:rsidRPr="009C0164">
        <w:rPr>
          <w:rFonts w:ascii="Times New Roman" w:hAnsi="Times New Roman" w:cs="Times New Roman"/>
          <w:bCs/>
        </w:rPr>
        <w:t>uso do solo e</w:t>
      </w:r>
      <w:r w:rsidRPr="009C0164">
        <w:rPr>
          <w:rFonts w:ascii="Times New Roman" w:hAnsi="Times New Roman" w:cs="Times New Roman"/>
          <w:bCs/>
        </w:rPr>
        <w:t xml:space="preserve"> as alterações realizadas em </w:t>
      </w:r>
      <w:r w:rsidR="00DF7C6B" w:rsidRPr="009C0164">
        <w:rPr>
          <w:rFonts w:ascii="Times New Roman" w:hAnsi="Times New Roman" w:cs="Times New Roman"/>
          <w:bCs/>
        </w:rPr>
        <w:t>sistema</w:t>
      </w:r>
      <w:r w:rsidRPr="009C0164">
        <w:rPr>
          <w:rFonts w:ascii="Times New Roman" w:hAnsi="Times New Roman" w:cs="Times New Roman"/>
          <w:bCs/>
        </w:rPr>
        <w:t>s fluviais</w:t>
      </w:r>
      <w:r w:rsidR="00DF7C6B" w:rsidRPr="009C0164">
        <w:rPr>
          <w:rFonts w:ascii="Times New Roman" w:hAnsi="Times New Roman" w:cs="Times New Roman"/>
          <w:bCs/>
        </w:rPr>
        <w:t xml:space="preserve"> (</w:t>
      </w:r>
      <w:r w:rsidR="003770AD" w:rsidRPr="009C0164">
        <w:rPr>
          <w:rFonts w:ascii="Times New Roman" w:hAnsi="Times New Roman" w:cs="Times New Roman"/>
          <w:bCs/>
        </w:rPr>
        <w:t>Tucci</w:t>
      </w:r>
      <w:r w:rsidR="00DF7C6B" w:rsidRPr="009C0164">
        <w:rPr>
          <w:rFonts w:ascii="Times New Roman" w:hAnsi="Times New Roman" w:cs="Times New Roman"/>
          <w:bCs/>
        </w:rPr>
        <w:t>, 2003).</w:t>
      </w:r>
    </w:p>
    <w:p w:rsidR="00CB4B0C" w:rsidRDefault="00877074" w:rsidP="009C0164">
      <w:pPr>
        <w:autoSpaceDE w:val="0"/>
        <w:autoSpaceDN w:val="0"/>
        <w:adjustRightInd w:val="0"/>
        <w:spacing w:before="120" w:after="120" w:line="240" w:lineRule="auto"/>
        <w:ind w:firstLine="709"/>
        <w:jc w:val="both"/>
        <w:rPr>
          <w:rFonts w:ascii="Times New Roman" w:hAnsi="Times New Roman" w:cs="Times New Roman"/>
          <w:bCs/>
        </w:rPr>
      </w:pPr>
      <w:r>
        <w:rPr>
          <w:rFonts w:ascii="Times New Roman" w:hAnsi="Times New Roman" w:cs="Times New Roman"/>
          <w:bCs/>
        </w:rPr>
        <w:t xml:space="preserve">Um </w:t>
      </w:r>
      <w:r w:rsidR="002562CE">
        <w:rPr>
          <w:rFonts w:ascii="Times New Roman" w:hAnsi="Times New Roman" w:cs="Times New Roman"/>
          <w:bCs/>
        </w:rPr>
        <w:t>estudo sobre</w:t>
      </w:r>
      <w:r>
        <w:rPr>
          <w:rFonts w:ascii="Times New Roman" w:hAnsi="Times New Roman" w:cs="Times New Roman"/>
          <w:bCs/>
        </w:rPr>
        <w:t xml:space="preserve"> a problemática </w:t>
      </w:r>
      <w:r w:rsidR="00CB4B0C">
        <w:rPr>
          <w:rFonts w:ascii="Times New Roman" w:hAnsi="Times New Roman" w:cs="Times New Roman"/>
          <w:bCs/>
        </w:rPr>
        <w:t xml:space="preserve">do depósito de resíduos, </w:t>
      </w:r>
      <w:r w:rsidRPr="00877074">
        <w:rPr>
          <w:rFonts w:ascii="Times New Roman" w:hAnsi="Times New Roman" w:cs="Times New Roman"/>
          <w:bCs/>
        </w:rPr>
        <w:t>oriundos</w:t>
      </w:r>
      <w:r w:rsidR="00CB4B0C">
        <w:rPr>
          <w:rFonts w:ascii="Times New Roman" w:hAnsi="Times New Roman" w:cs="Times New Roman"/>
          <w:bCs/>
        </w:rPr>
        <w:t xml:space="preserve"> dos municípios de João Pessoa, </w:t>
      </w:r>
      <w:r w:rsidR="00CB4B0C" w:rsidRPr="00877074">
        <w:rPr>
          <w:rFonts w:ascii="Times New Roman" w:hAnsi="Times New Roman" w:cs="Times New Roman"/>
          <w:bCs/>
        </w:rPr>
        <w:t>Cabedelo e Bayeux</w:t>
      </w:r>
      <w:r w:rsidR="00CB4B0C">
        <w:rPr>
          <w:rFonts w:ascii="Times New Roman" w:hAnsi="Times New Roman" w:cs="Times New Roman"/>
          <w:bCs/>
        </w:rPr>
        <w:t xml:space="preserve">, </w:t>
      </w:r>
      <w:r w:rsidRPr="00877074">
        <w:rPr>
          <w:rFonts w:ascii="Times New Roman" w:hAnsi="Times New Roman" w:cs="Times New Roman"/>
          <w:bCs/>
        </w:rPr>
        <w:t>no antigo lixão do Roger, que se assenta no mang</w:t>
      </w:r>
      <w:r w:rsidR="00CB4B0C">
        <w:rPr>
          <w:rFonts w:ascii="Times New Roman" w:hAnsi="Times New Roman" w:cs="Times New Roman"/>
          <w:bCs/>
        </w:rPr>
        <w:t xml:space="preserve">uezal adjacente ao rio Sanhauá. Foram descritos diversos </w:t>
      </w:r>
      <w:r w:rsidRPr="00877074">
        <w:rPr>
          <w:rFonts w:ascii="Times New Roman" w:hAnsi="Times New Roman" w:cs="Times New Roman"/>
          <w:bCs/>
        </w:rPr>
        <w:t>problemas ambientais resultantes dessa disposição inadequada</w:t>
      </w:r>
      <w:r w:rsidR="00CB4B0C">
        <w:rPr>
          <w:rFonts w:ascii="Times New Roman" w:hAnsi="Times New Roman" w:cs="Times New Roman"/>
          <w:bCs/>
        </w:rPr>
        <w:t>, incluindo</w:t>
      </w:r>
      <w:r w:rsidRPr="00877074">
        <w:rPr>
          <w:rFonts w:ascii="Times New Roman" w:hAnsi="Times New Roman" w:cs="Times New Roman"/>
          <w:bCs/>
        </w:rPr>
        <w:t xml:space="preserve"> a poluição de águas subterrâneas. </w:t>
      </w:r>
      <w:r>
        <w:rPr>
          <w:rFonts w:ascii="Times New Roman" w:hAnsi="Times New Roman" w:cs="Times New Roman"/>
          <w:bCs/>
        </w:rPr>
        <w:t xml:space="preserve">O </w:t>
      </w:r>
      <w:r w:rsidRPr="00877074">
        <w:rPr>
          <w:rFonts w:ascii="Times New Roman" w:hAnsi="Times New Roman" w:cs="Times New Roman"/>
          <w:bCs/>
        </w:rPr>
        <w:t>monitoramento de seis poços situados na região de influência direta e indireta do antigo lixão</w:t>
      </w:r>
      <w:r w:rsidR="00CB4B0C">
        <w:rPr>
          <w:rFonts w:ascii="Times New Roman" w:hAnsi="Times New Roman" w:cs="Times New Roman"/>
          <w:bCs/>
        </w:rPr>
        <w:t xml:space="preserve"> foi analisada, demonstrando que a</w:t>
      </w:r>
      <w:r w:rsidRPr="00877074">
        <w:rPr>
          <w:rFonts w:ascii="Times New Roman" w:hAnsi="Times New Roman" w:cs="Times New Roman"/>
          <w:bCs/>
        </w:rPr>
        <w:t>s águas subterrân</w:t>
      </w:r>
      <w:r w:rsidR="00CB4B0C">
        <w:rPr>
          <w:rFonts w:ascii="Times New Roman" w:hAnsi="Times New Roman" w:cs="Times New Roman"/>
          <w:bCs/>
        </w:rPr>
        <w:t xml:space="preserve">eas não podem ser consumidas </w:t>
      </w:r>
      <w:r w:rsidRPr="00877074">
        <w:rPr>
          <w:rFonts w:ascii="Times New Roman" w:hAnsi="Times New Roman" w:cs="Times New Roman"/>
          <w:bCs/>
        </w:rPr>
        <w:t xml:space="preserve">sem tratamento prévio, </w:t>
      </w:r>
      <w:r w:rsidR="00CB4B0C">
        <w:rPr>
          <w:rFonts w:ascii="Times New Roman" w:hAnsi="Times New Roman" w:cs="Times New Roman"/>
          <w:bCs/>
        </w:rPr>
        <w:t xml:space="preserve">devido aos problemas de contaminação. Foi observada maior grau de </w:t>
      </w:r>
      <w:r w:rsidRPr="00877074">
        <w:rPr>
          <w:rFonts w:ascii="Times New Roman" w:hAnsi="Times New Roman" w:cs="Times New Roman"/>
          <w:bCs/>
        </w:rPr>
        <w:t xml:space="preserve">poluição das águas subterrâneas nos poços situados mais próximos ao antigo lixão, onde há influência </w:t>
      </w:r>
      <w:r w:rsidRPr="00BE470A">
        <w:rPr>
          <w:rFonts w:ascii="Times New Roman" w:hAnsi="Times New Roman" w:cs="Times New Roman"/>
          <w:bCs/>
        </w:rPr>
        <w:t>dir</w:t>
      </w:r>
      <w:r w:rsidR="00CB4B0C" w:rsidRPr="00BE470A">
        <w:rPr>
          <w:rFonts w:ascii="Times New Roman" w:hAnsi="Times New Roman" w:cs="Times New Roman"/>
          <w:bCs/>
        </w:rPr>
        <w:t xml:space="preserve">eta, </w:t>
      </w:r>
      <w:r w:rsidR="002562CE" w:rsidRPr="00BE470A">
        <w:rPr>
          <w:rFonts w:ascii="Times New Roman" w:hAnsi="Times New Roman" w:cs="Times New Roman"/>
          <w:bCs/>
        </w:rPr>
        <w:t>do</w:t>
      </w:r>
      <w:r w:rsidR="002562CE">
        <w:rPr>
          <w:rFonts w:ascii="Times New Roman" w:hAnsi="Times New Roman" w:cs="Times New Roman"/>
          <w:bCs/>
        </w:rPr>
        <w:t xml:space="preserve"> </w:t>
      </w:r>
      <w:r w:rsidR="002562CE" w:rsidRPr="00BE470A">
        <w:rPr>
          <w:rFonts w:ascii="Times New Roman" w:hAnsi="Times New Roman" w:cs="Times New Roman"/>
          <w:bCs/>
        </w:rPr>
        <w:t>que</w:t>
      </w:r>
      <w:r w:rsidR="00CB4B0C" w:rsidRPr="00BE470A">
        <w:rPr>
          <w:rFonts w:ascii="Times New Roman" w:hAnsi="Times New Roman" w:cs="Times New Roman"/>
          <w:bCs/>
        </w:rPr>
        <w:t xml:space="preserve"> nos pontos adjacentes (</w:t>
      </w:r>
      <w:r w:rsidR="006073E8">
        <w:rPr>
          <w:rFonts w:ascii="Times New Roman" w:hAnsi="Times New Roman" w:cs="Times New Roman"/>
          <w:bCs/>
        </w:rPr>
        <w:t>Athayde</w:t>
      </w:r>
      <w:r w:rsidR="00CB4B0C" w:rsidRPr="00BE470A">
        <w:rPr>
          <w:rFonts w:ascii="Times New Roman" w:hAnsi="Times New Roman" w:cs="Times New Roman"/>
          <w:bCs/>
        </w:rPr>
        <w:t xml:space="preserve"> et al., 2009).</w:t>
      </w:r>
    </w:p>
    <w:p w:rsidR="00D416E9" w:rsidRPr="009C0164" w:rsidRDefault="002562CE" w:rsidP="009C0164">
      <w:pPr>
        <w:autoSpaceDE w:val="0"/>
        <w:autoSpaceDN w:val="0"/>
        <w:adjustRightInd w:val="0"/>
        <w:spacing w:before="120" w:after="120" w:line="240" w:lineRule="auto"/>
        <w:ind w:firstLine="709"/>
        <w:jc w:val="both"/>
        <w:rPr>
          <w:rFonts w:ascii="Times New Roman" w:hAnsi="Times New Roman" w:cs="Times New Roman"/>
        </w:rPr>
      </w:pPr>
      <w:r>
        <w:rPr>
          <w:rFonts w:ascii="Times New Roman" w:hAnsi="Times New Roman" w:cs="Times New Roman"/>
        </w:rPr>
        <w:t>No relatório da UNESCO</w:t>
      </w:r>
      <w:r w:rsidRPr="009C0164">
        <w:rPr>
          <w:rFonts w:ascii="Times New Roman" w:hAnsi="Times New Roman" w:cs="Times New Roman"/>
        </w:rPr>
        <w:t xml:space="preserve">, “Água para um mundo sustentável”, destaca os fatores associados à qualidade e acesso aos recursos hídricos, </w:t>
      </w:r>
      <w:r>
        <w:rPr>
          <w:rFonts w:ascii="Times New Roman" w:hAnsi="Times New Roman" w:cs="Times New Roman"/>
        </w:rPr>
        <w:t xml:space="preserve">entre os </w:t>
      </w:r>
      <w:r w:rsidRPr="009C0164">
        <w:rPr>
          <w:rFonts w:ascii="Times New Roman" w:hAnsi="Times New Roman" w:cs="Times New Roman"/>
        </w:rPr>
        <w:t>quais o crescimento demográfico, o processo de urbanização,as políticas de segurança alimentar e energética e</w:t>
      </w:r>
      <w:r>
        <w:rPr>
          <w:rFonts w:ascii="Times New Roman" w:hAnsi="Times New Roman" w:cs="Times New Roman"/>
        </w:rPr>
        <w:t xml:space="preserve"> </w:t>
      </w:r>
      <w:r w:rsidRPr="009C0164">
        <w:rPr>
          <w:rFonts w:ascii="Times New Roman" w:hAnsi="Times New Roman" w:cs="Times New Roman"/>
        </w:rPr>
        <w:t>os processos macroeconômicos possuem notável relevância</w:t>
      </w:r>
      <w:r>
        <w:rPr>
          <w:rFonts w:ascii="Times New Roman" w:hAnsi="Times New Roman" w:cs="Times New Roman"/>
        </w:rPr>
        <w:t xml:space="preserve"> como </w:t>
      </w:r>
      <w:r w:rsidRPr="009C0164">
        <w:rPr>
          <w:rFonts w:ascii="Times New Roman" w:hAnsi="Times New Roman" w:cs="Times New Roman"/>
        </w:rPr>
        <w:t>determinantes na insuficiência de recursos hídricos.Os</w:t>
      </w:r>
      <w:r>
        <w:rPr>
          <w:rFonts w:ascii="Times New Roman" w:hAnsi="Times New Roman" w:cs="Times New Roman"/>
        </w:rPr>
        <w:t xml:space="preserve"> </w:t>
      </w:r>
      <w:r w:rsidRPr="009C0164">
        <w:rPr>
          <w:rFonts w:ascii="Times New Roman" w:hAnsi="Times New Roman" w:cs="Times New Roman"/>
        </w:rPr>
        <w:t>contributos para</w:t>
      </w:r>
      <w:r>
        <w:rPr>
          <w:rFonts w:ascii="Times New Roman" w:hAnsi="Times New Roman" w:cs="Times New Roman"/>
        </w:rPr>
        <w:t xml:space="preserve"> </w:t>
      </w:r>
      <w:r w:rsidRPr="009C0164">
        <w:rPr>
          <w:rFonts w:ascii="Times New Roman" w:hAnsi="Times New Roman" w:cs="Times New Roman"/>
        </w:rPr>
        <w:t>determinantes</w:t>
      </w:r>
      <w:r>
        <w:rPr>
          <w:rFonts w:ascii="Times New Roman" w:hAnsi="Times New Roman" w:cs="Times New Roman"/>
        </w:rPr>
        <w:t xml:space="preserve"> </w:t>
      </w:r>
      <w:r w:rsidRPr="009C0164">
        <w:rPr>
          <w:rFonts w:ascii="Times New Roman" w:hAnsi="Times New Roman" w:cs="Times New Roman"/>
        </w:rPr>
        <w:t>negativos dizem respeito à persistência da pobreza, o acesso desigual à água potável e ao saneamento, o financiamento insuficiente e a negligência na gestão dos recursos hídricos (</w:t>
      </w:r>
      <w:r>
        <w:rPr>
          <w:rFonts w:ascii="Times New Roman" w:hAnsi="Times New Roman" w:cs="Times New Roman"/>
        </w:rPr>
        <w:t>UNESCO, 2015</w:t>
      </w:r>
      <w:r w:rsidRPr="009C0164">
        <w:rPr>
          <w:rFonts w:ascii="Times New Roman" w:hAnsi="Times New Roman" w:cs="Times New Roman"/>
        </w:rPr>
        <w:t>).</w:t>
      </w:r>
    </w:p>
    <w:p w:rsidR="00E64284" w:rsidRPr="009C0164" w:rsidRDefault="00DF7C6B"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lastRenderedPageBreak/>
        <w:t xml:space="preserve">A qualidade da água </w:t>
      </w:r>
      <w:r w:rsidR="00150600" w:rsidRPr="009C0164">
        <w:rPr>
          <w:rFonts w:ascii="Times New Roman" w:hAnsi="Times New Roman" w:cs="Times New Roman"/>
          <w:bCs/>
        </w:rPr>
        <w:t xml:space="preserve">influencia-se </w:t>
      </w:r>
      <w:r w:rsidRPr="009C0164">
        <w:rPr>
          <w:rFonts w:ascii="Times New Roman" w:hAnsi="Times New Roman" w:cs="Times New Roman"/>
          <w:bCs/>
        </w:rPr>
        <w:t xml:space="preserve">por fatores físicos, químicos e biológicos. Dentre os fatores físico-químicos estão: temperatura, cor, turbidez, pH, alcalinidade, acidez, dureza total, </w:t>
      </w:r>
      <w:r w:rsidR="00150600" w:rsidRPr="009C0164">
        <w:rPr>
          <w:rFonts w:ascii="Times New Roman" w:hAnsi="Times New Roman" w:cs="Times New Roman"/>
          <w:bCs/>
        </w:rPr>
        <w:t xml:space="preserve">e </w:t>
      </w:r>
      <w:r w:rsidRPr="009C0164">
        <w:rPr>
          <w:rFonts w:ascii="Times New Roman" w:hAnsi="Times New Roman" w:cs="Times New Roman"/>
          <w:bCs/>
        </w:rPr>
        <w:t>substâncias químicas como ferro, chumbo, flúor, cloro, entre outros</w:t>
      </w:r>
      <w:r w:rsidR="003770AD">
        <w:rPr>
          <w:rFonts w:ascii="Times New Roman" w:hAnsi="Times New Roman" w:cs="Times New Roman"/>
        </w:rPr>
        <w:t>(Ciminelli, 2014</w:t>
      </w:r>
      <w:r w:rsidR="00E64284" w:rsidRPr="009C0164">
        <w:rPr>
          <w:rFonts w:ascii="Times New Roman" w:hAnsi="Times New Roman" w:cs="Times New Roman"/>
        </w:rPr>
        <w:t>;</w:t>
      </w:r>
      <w:r w:rsidR="00E83ADA">
        <w:rPr>
          <w:rFonts w:ascii="Times New Roman" w:hAnsi="Times New Roman" w:cs="Times New Roman"/>
        </w:rPr>
        <w:t>SNSA</w:t>
      </w:r>
      <w:r w:rsidR="00E64284" w:rsidRPr="009C0164">
        <w:rPr>
          <w:rFonts w:ascii="Times New Roman" w:hAnsi="Times New Roman" w:cs="Times New Roman"/>
        </w:rPr>
        <w:t>, 2007)</w:t>
      </w:r>
      <w:r w:rsidR="00E64284" w:rsidRPr="009C0164">
        <w:rPr>
          <w:rFonts w:ascii="Times New Roman" w:hAnsi="Times New Roman" w:cs="Times New Roman"/>
          <w:bCs/>
        </w:rPr>
        <w:t>.</w:t>
      </w:r>
    </w:p>
    <w:p w:rsidR="00E64284" w:rsidRPr="009C0164" w:rsidRDefault="00E64284"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bCs/>
        </w:rPr>
        <w:t xml:space="preserve">A qualidade bacteriológica da água para consumo humano integra </w:t>
      </w:r>
      <w:r w:rsidR="00BF632F">
        <w:rPr>
          <w:rFonts w:ascii="Times New Roman" w:hAnsi="Times New Roman" w:cs="Times New Roman"/>
          <w:bCs/>
        </w:rPr>
        <w:t>indicadores capazes de apontar a</w:t>
      </w:r>
      <w:r w:rsidRPr="009C0164">
        <w:rPr>
          <w:rFonts w:ascii="Times New Roman" w:hAnsi="Times New Roman" w:cs="Times New Roman"/>
          <w:bCs/>
        </w:rPr>
        <w:t xml:space="preserve"> contaminação fecal da água</w:t>
      </w:r>
      <w:r w:rsidR="00BF632F">
        <w:rPr>
          <w:rFonts w:ascii="Times New Roman" w:hAnsi="Times New Roman" w:cs="Times New Roman"/>
          <w:bCs/>
        </w:rPr>
        <w:t>,</w:t>
      </w:r>
      <w:r w:rsidRPr="009C0164">
        <w:rPr>
          <w:rFonts w:ascii="Times New Roman" w:hAnsi="Times New Roman" w:cs="Times New Roman"/>
          <w:bCs/>
        </w:rPr>
        <w:t xml:space="preserve"> e possibilita o embasamento sobre a presença de patógenos que comprometem </w:t>
      </w:r>
      <w:r w:rsidR="00BF632F">
        <w:rPr>
          <w:rFonts w:ascii="Times New Roman" w:hAnsi="Times New Roman" w:cs="Times New Roman"/>
          <w:bCs/>
        </w:rPr>
        <w:t xml:space="preserve">a </w:t>
      </w:r>
      <w:r w:rsidR="00B63D37">
        <w:rPr>
          <w:rFonts w:ascii="Times New Roman" w:hAnsi="Times New Roman" w:cs="Times New Roman"/>
          <w:bCs/>
        </w:rPr>
        <w:t xml:space="preserve">saúde da população (Ishii e </w:t>
      </w:r>
      <w:r w:rsidR="006231F4">
        <w:rPr>
          <w:rFonts w:ascii="Times New Roman" w:hAnsi="Times New Roman" w:cs="Times New Roman"/>
          <w:bCs/>
        </w:rPr>
        <w:t>Sadowsky</w:t>
      </w:r>
      <w:r w:rsidRPr="009C0164">
        <w:rPr>
          <w:rFonts w:ascii="Times New Roman" w:hAnsi="Times New Roman" w:cs="Times New Roman"/>
          <w:bCs/>
        </w:rPr>
        <w:t xml:space="preserve">, 2008). </w:t>
      </w:r>
      <w:r w:rsidR="00150600" w:rsidRPr="009C0164">
        <w:rPr>
          <w:rFonts w:ascii="Times New Roman" w:hAnsi="Times New Roman" w:cs="Times New Roman"/>
          <w:bCs/>
        </w:rPr>
        <w:t>Destacam-se, entre os fatores biológicos, a determinação de</w:t>
      </w:r>
      <w:r w:rsidR="00DF7C6B" w:rsidRPr="009C0164">
        <w:rPr>
          <w:rFonts w:ascii="Times New Roman" w:hAnsi="Times New Roman" w:cs="Times New Roman"/>
          <w:bCs/>
        </w:rPr>
        <w:t xml:space="preserve"> organismos indicadores de contaminação fecal</w:t>
      </w:r>
      <w:r w:rsidR="00150600" w:rsidRPr="009C0164">
        <w:rPr>
          <w:rFonts w:ascii="Times New Roman" w:hAnsi="Times New Roman" w:cs="Times New Roman"/>
          <w:bCs/>
        </w:rPr>
        <w:t>, como por exemplo,</w:t>
      </w:r>
      <w:r w:rsidR="00DF7C6B" w:rsidRPr="009C0164">
        <w:rPr>
          <w:rFonts w:ascii="Times New Roman" w:hAnsi="Times New Roman" w:cs="Times New Roman"/>
          <w:bCs/>
        </w:rPr>
        <w:t xml:space="preserve"> as bactérias do grupo coliformes </w:t>
      </w:r>
      <w:r w:rsidR="00E83ADA">
        <w:rPr>
          <w:rFonts w:ascii="Times New Roman" w:hAnsi="Times New Roman" w:cs="Times New Roman"/>
        </w:rPr>
        <w:t xml:space="preserve">(Ciminelli, </w:t>
      </w:r>
      <w:r w:rsidR="00DF7C6B" w:rsidRPr="009C0164">
        <w:rPr>
          <w:rFonts w:ascii="Times New Roman" w:hAnsi="Times New Roman" w:cs="Times New Roman"/>
        </w:rPr>
        <w:t>2014;</w:t>
      </w:r>
      <w:r w:rsidR="00E83ADA">
        <w:rPr>
          <w:rFonts w:ascii="Times New Roman" w:hAnsi="Times New Roman" w:cs="Times New Roman"/>
        </w:rPr>
        <w:t xml:space="preserve"> SNSA</w:t>
      </w:r>
      <w:r w:rsidR="00DF7C6B" w:rsidRPr="009C0164">
        <w:rPr>
          <w:rFonts w:ascii="Times New Roman" w:hAnsi="Times New Roman" w:cs="Times New Roman"/>
        </w:rPr>
        <w:t>, 2007)</w:t>
      </w:r>
      <w:r w:rsidR="007D0282" w:rsidRPr="009C0164">
        <w:rPr>
          <w:rFonts w:ascii="Times New Roman" w:hAnsi="Times New Roman" w:cs="Times New Roman"/>
        </w:rPr>
        <w:t>.</w:t>
      </w:r>
    </w:p>
    <w:p w:rsidR="000C75E3" w:rsidRPr="009C0164" w:rsidRDefault="000C75E3"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rPr>
        <w:t xml:space="preserve">Considera-se a escassez de água potável </w:t>
      </w:r>
      <w:r w:rsidR="00EA0BB3" w:rsidRPr="009C0164">
        <w:rPr>
          <w:rFonts w:ascii="Times New Roman" w:hAnsi="Times New Roman" w:cs="Times New Roman"/>
        </w:rPr>
        <w:t xml:space="preserve">para consumo humano, </w:t>
      </w:r>
      <w:r w:rsidRPr="009C0164">
        <w:rPr>
          <w:rFonts w:ascii="Times New Roman" w:hAnsi="Times New Roman" w:cs="Times New Roman"/>
        </w:rPr>
        <w:t>assim como</w:t>
      </w:r>
      <w:r w:rsidR="0050054D">
        <w:rPr>
          <w:rFonts w:ascii="Times New Roman" w:hAnsi="Times New Roman" w:cs="Times New Roman"/>
        </w:rPr>
        <w:t>,</w:t>
      </w:r>
      <w:r w:rsidRPr="009C0164">
        <w:rPr>
          <w:rFonts w:ascii="Times New Roman" w:hAnsi="Times New Roman" w:cs="Times New Roman"/>
        </w:rPr>
        <w:t xml:space="preserve"> para as ações de </w:t>
      </w:r>
      <w:r w:rsidR="00EA0BB3" w:rsidRPr="009C0164">
        <w:rPr>
          <w:rFonts w:ascii="Times New Roman" w:hAnsi="Times New Roman" w:cs="Times New Roman"/>
        </w:rPr>
        <w:t>saneamento e higiene</w:t>
      </w:r>
      <w:r w:rsidRPr="009C0164">
        <w:rPr>
          <w:rFonts w:ascii="Times New Roman" w:hAnsi="Times New Roman" w:cs="Times New Roman"/>
        </w:rPr>
        <w:t>,</w:t>
      </w:r>
      <w:r w:rsidR="00EA0BB3" w:rsidRPr="009C0164">
        <w:rPr>
          <w:rFonts w:ascii="Times New Roman" w:hAnsi="Times New Roman" w:cs="Times New Roman"/>
        </w:rPr>
        <w:t xml:space="preserve"> um dos principais e mais urgentes problemas </w:t>
      </w:r>
      <w:r w:rsidRPr="009C0164">
        <w:rPr>
          <w:rFonts w:ascii="Times New Roman" w:hAnsi="Times New Roman" w:cs="Times New Roman"/>
        </w:rPr>
        <w:t>de saúde pública</w:t>
      </w:r>
      <w:r w:rsidR="00EA0BB3" w:rsidRPr="009C0164">
        <w:rPr>
          <w:rFonts w:ascii="Times New Roman" w:hAnsi="Times New Roman" w:cs="Times New Roman"/>
        </w:rPr>
        <w:t xml:space="preserve">. </w:t>
      </w:r>
      <w:r w:rsidRPr="009C0164">
        <w:rPr>
          <w:rFonts w:ascii="Times New Roman" w:hAnsi="Times New Roman" w:cs="Times New Roman"/>
        </w:rPr>
        <w:t xml:space="preserve">Estima-se que </w:t>
      </w:r>
      <w:r w:rsidR="00EA0BB3" w:rsidRPr="009C0164">
        <w:rPr>
          <w:rFonts w:ascii="Times New Roman" w:hAnsi="Times New Roman" w:cs="Times New Roman"/>
        </w:rPr>
        <w:t>um décimo da carga globa</w:t>
      </w:r>
      <w:r w:rsidR="00334D78">
        <w:rPr>
          <w:rFonts w:ascii="Times New Roman" w:hAnsi="Times New Roman" w:cs="Times New Roman"/>
        </w:rPr>
        <w:t>l de doenças poderia ser evitado</w:t>
      </w:r>
      <w:r w:rsidR="00EA0BB3" w:rsidRPr="009C0164">
        <w:rPr>
          <w:rFonts w:ascii="Times New Roman" w:hAnsi="Times New Roman" w:cs="Times New Roman"/>
        </w:rPr>
        <w:t xml:space="preserve"> através</w:t>
      </w:r>
      <w:r w:rsidRPr="009C0164">
        <w:rPr>
          <w:rFonts w:ascii="Times New Roman" w:hAnsi="Times New Roman" w:cs="Times New Roman"/>
        </w:rPr>
        <w:t xml:space="preserve"> de ações de qualificação n</w:t>
      </w:r>
      <w:r w:rsidR="00EA0BB3" w:rsidRPr="009C0164">
        <w:rPr>
          <w:rFonts w:ascii="Times New Roman" w:hAnsi="Times New Roman" w:cs="Times New Roman"/>
        </w:rPr>
        <w:t xml:space="preserve">o abastecimento de água, saneamento, higiene </w:t>
      </w:r>
      <w:r w:rsidRPr="009C0164">
        <w:rPr>
          <w:rFonts w:ascii="Times New Roman" w:hAnsi="Times New Roman" w:cs="Times New Roman"/>
        </w:rPr>
        <w:t>e gestão dos recursos hídricos (OMS, 2012).</w:t>
      </w:r>
    </w:p>
    <w:p w:rsidR="00DF7C6B" w:rsidRPr="009C0164" w:rsidRDefault="00DF7C6B"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Os Sistemas de Abastecimento de Água (SAA), além de objetivarem assegurar o conforto às populações e prover parte da infraestrutura das cidades, visam</w:t>
      </w:r>
      <w:r w:rsidR="00841E9E" w:rsidRPr="009C0164">
        <w:rPr>
          <w:rFonts w:ascii="Times New Roman" w:hAnsi="Times New Roman" w:cs="Times New Roman"/>
          <w:bCs/>
        </w:rPr>
        <w:t xml:space="preserve"> contribuir para a conservação da qualidade da águ</w:t>
      </w:r>
      <w:r w:rsidR="00E86E0B">
        <w:rPr>
          <w:rFonts w:ascii="Times New Roman" w:hAnsi="Times New Roman" w:cs="Times New Roman"/>
          <w:bCs/>
        </w:rPr>
        <w:t>a (Brasil, 2006), embora entenda</w:t>
      </w:r>
      <w:r w:rsidR="00841E9E" w:rsidRPr="009C0164">
        <w:rPr>
          <w:rFonts w:ascii="Times New Roman" w:hAnsi="Times New Roman" w:cs="Times New Roman"/>
          <w:bCs/>
        </w:rPr>
        <w:t>-se que os problemas de contaminação podem ocorrer à nível domiciliar.</w:t>
      </w:r>
    </w:p>
    <w:p w:rsidR="003A2FAA" w:rsidRPr="009C0164" w:rsidRDefault="003A2FAA"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No Brasil, o Programa Nacional de Vigilância da Qualidade da</w:t>
      </w:r>
      <w:r w:rsidR="00261937">
        <w:rPr>
          <w:rFonts w:ascii="Times New Roman" w:hAnsi="Times New Roman" w:cs="Times New Roman"/>
          <w:bCs/>
        </w:rPr>
        <w:t xml:space="preserve"> Água para Consumo Humano (Vigiá</w:t>
      </w:r>
      <w:r w:rsidRPr="009C0164">
        <w:rPr>
          <w:rFonts w:ascii="Times New Roman" w:hAnsi="Times New Roman" w:cs="Times New Roman"/>
          <w:bCs/>
        </w:rPr>
        <w:t>gua) tem sido uma proposta para garantir a qualidade e segurança da água para consum</w:t>
      </w:r>
      <w:r w:rsidR="00261937">
        <w:rPr>
          <w:rFonts w:ascii="Times New Roman" w:hAnsi="Times New Roman" w:cs="Times New Roman"/>
          <w:bCs/>
        </w:rPr>
        <w:t xml:space="preserve">o </w:t>
      </w:r>
      <w:r w:rsidR="00261937" w:rsidRPr="009A6366">
        <w:rPr>
          <w:rFonts w:ascii="Times New Roman" w:hAnsi="Times New Roman" w:cs="Times New Roman"/>
          <w:bCs/>
        </w:rPr>
        <w:t>humano</w:t>
      </w:r>
      <w:r w:rsidRPr="009A6366">
        <w:rPr>
          <w:rFonts w:ascii="Times New Roman" w:hAnsi="Times New Roman" w:cs="Times New Roman"/>
          <w:bCs/>
        </w:rPr>
        <w:t>. O Vigiágua</w:t>
      </w:r>
      <w:r w:rsidR="009A6366" w:rsidRPr="009A6366">
        <w:rPr>
          <w:rFonts w:ascii="Times New Roman" w:hAnsi="Times New Roman" w:cs="Times New Roman"/>
          <w:bCs/>
        </w:rPr>
        <w:t xml:space="preserve"> constitui-se </w:t>
      </w:r>
      <w:r w:rsidRPr="009A6366">
        <w:rPr>
          <w:rFonts w:ascii="Times New Roman" w:hAnsi="Times New Roman" w:cs="Times New Roman"/>
          <w:bCs/>
        </w:rPr>
        <w:t>um conjunto de ações tomadas longitudinalmente</w:t>
      </w:r>
      <w:r w:rsidRPr="009C0164">
        <w:rPr>
          <w:rFonts w:ascii="Times New Roman" w:hAnsi="Times New Roman" w:cs="Times New Roman"/>
          <w:bCs/>
        </w:rPr>
        <w:t xml:space="preserve"> pelas autoridades de saúde pública para garantir à população o acesso à água em quantidade suficiente e qualidade compatível com o padrão de potabilidade, segundo os parâmetros esta</w:t>
      </w:r>
      <w:r w:rsidR="00E1308D" w:rsidRPr="009C0164">
        <w:rPr>
          <w:rFonts w:ascii="Times New Roman" w:hAnsi="Times New Roman" w:cs="Times New Roman"/>
          <w:bCs/>
        </w:rPr>
        <w:t>belecido na legislação vigente</w:t>
      </w:r>
      <w:r w:rsidR="00E1308D" w:rsidRPr="009C0164">
        <w:rPr>
          <w:rStyle w:val="Refdenotaderodap"/>
          <w:rFonts w:ascii="Times New Roman" w:hAnsi="Times New Roman" w:cs="Times New Roman"/>
          <w:bCs/>
        </w:rPr>
        <w:footnoteReference w:id="3"/>
      </w:r>
      <w:r w:rsidRPr="009C0164">
        <w:rPr>
          <w:rFonts w:ascii="Times New Roman" w:hAnsi="Times New Roman" w:cs="Times New Roman"/>
          <w:bCs/>
        </w:rPr>
        <w:t>.</w:t>
      </w:r>
    </w:p>
    <w:p w:rsidR="00463C4D" w:rsidRPr="009C0164" w:rsidRDefault="004A166C"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Constatou-se </w:t>
      </w:r>
      <w:r w:rsidR="00455AF4" w:rsidRPr="009C0164">
        <w:rPr>
          <w:rFonts w:ascii="Times New Roman" w:hAnsi="Times New Roman" w:cs="Times New Roman"/>
          <w:bCs/>
        </w:rPr>
        <w:t xml:space="preserve">que </w:t>
      </w:r>
      <w:r w:rsidRPr="009C0164">
        <w:rPr>
          <w:rFonts w:ascii="Times New Roman" w:hAnsi="Times New Roman" w:cs="Times New Roman"/>
          <w:bCs/>
        </w:rPr>
        <w:t>“</w:t>
      </w:r>
      <w:r w:rsidR="00455AF4" w:rsidRPr="009C0164">
        <w:rPr>
          <w:rFonts w:ascii="Times New Roman" w:hAnsi="Times New Roman" w:cs="Times New Roman"/>
          <w:bCs/>
        </w:rPr>
        <w:t xml:space="preserve">o </w:t>
      </w:r>
      <w:r w:rsidRPr="009C0164">
        <w:rPr>
          <w:rFonts w:ascii="Times New Roman" w:hAnsi="Times New Roman" w:cs="Times New Roman"/>
          <w:bCs/>
        </w:rPr>
        <w:t xml:space="preserve">bem-estar das populações – apreendido pelos indicadores sociais e de saúde – nos diversos países e no território </w:t>
      </w:r>
      <w:r w:rsidRPr="009C0164">
        <w:rPr>
          <w:rFonts w:ascii="Times New Roman" w:hAnsi="Times New Roman" w:cs="Times New Roman"/>
          <w:bCs/>
        </w:rPr>
        <w:t>nacional</w:t>
      </w:r>
      <w:r w:rsidR="007B1696">
        <w:rPr>
          <w:rFonts w:ascii="Times New Roman" w:hAnsi="Times New Roman" w:cs="Times New Roman"/>
          <w:bCs/>
        </w:rPr>
        <w:t>,</w:t>
      </w:r>
      <w:r w:rsidRPr="009C0164">
        <w:rPr>
          <w:rFonts w:ascii="Times New Roman" w:hAnsi="Times New Roman" w:cs="Times New Roman"/>
          <w:bCs/>
        </w:rPr>
        <w:t xml:space="preserve"> é melhor retratado pela abrangência dos serviços de água e de esgotamento sanitário, do que propriamente pelo potencial hídrico ou pela disponibilidade de água per capita” (Libânio et al., 2005, p.226)</w:t>
      </w:r>
      <w:r w:rsidR="00455AF4" w:rsidRPr="009C0164">
        <w:rPr>
          <w:rFonts w:ascii="Times New Roman" w:hAnsi="Times New Roman" w:cs="Times New Roman"/>
          <w:bCs/>
        </w:rPr>
        <w:t xml:space="preserve">, considerando-se </w:t>
      </w:r>
      <w:r w:rsidRPr="009C0164">
        <w:rPr>
          <w:rFonts w:ascii="Times New Roman" w:hAnsi="Times New Roman" w:cs="Times New Roman"/>
          <w:bCs/>
        </w:rPr>
        <w:t>indicadores sociais, indicadores de saúde - índice de mortalidade e morbidade, indicadores de saneamento básico - cobertura por serviços de água e esgoto, potencial e disponibilidade hídrica</w:t>
      </w:r>
      <w:r w:rsidR="00455AF4" w:rsidRPr="009C0164">
        <w:rPr>
          <w:rFonts w:ascii="Times New Roman" w:hAnsi="Times New Roman" w:cs="Times New Roman"/>
          <w:bCs/>
        </w:rPr>
        <w:t xml:space="preserve">. </w:t>
      </w:r>
      <w:r w:rsidR="00F507A6" w:rsidRPr="009C0164">
        <w:rPr>
          <w:rFonts w:ascii="Times New Roman" w:hAnsi="Times New Roman" w:cs="Times New Roman"/>
          <w:bCs/>
        </w:rPr>
        <w:t>Ou seja, a disponibilidade de serviços de saneamento básico - água e esgoto, representa maior impacto sobre a qualidade de vida do que a mera disponibilidade dos recursos hídricos.</w:t>
      </w:r>
    </w:p>
    <w:p w:rsidR="0094781B" w:rsidRPr="009C0164" w:rsidRDefault="00FE4B18"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Refletir o impacto do meio ambiente sobre a saúde é um exercício que deve ser estimulado nos espaços sociais e coletivos, a fim de propor ideias para a construção de uma realidade mais consciente e responsável, da qual cada ser humano possui um papel </w:t>
      </w:r>
      <w:r w:rsidR="004E3A0C" w:rsidRPr="009C0164">
        <w:rPr>
          <w:rFonts w:ascii="Times New Roman" w:hAnsi="Times New Roman" w:cs="Times New Roman"/>
          <w:bCs/>
        </w:rPr>
        <w:t>indispensável para a manutenção da biodiversidade e o cuidado com os recursos hídricos.</w:t>
      </w:r>
      <w:r w:rsidR="0094781B" w:rsidRPr="009C0164">
        <w:rPr>
          <w:rFonts w:ascii="Times New Roman" w:hAnsi="Times New Roman" w:cs="Times New Roman"/>
          <w:bCs/>
        </w:rPr>
        <w:t xml:space="preserve"> Sabe-se que a negligência relacionada ao saneamento inadequado e à destinação incorreta de lixo tornam-se fatores contributos à contaminação hídrica.</w:t>
      </w:r>
    </w:p>
    <w:p w:rsidR="000313FF" w:rsidRPr="009C0164" w:rsidRDefault="000313FF"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O presente estudo objetivou analisar e estabelecer o grau de risco dos municípios gaúchos em relação à morbimortalidade humana associada ao saneamento, </w:t>
      </w:r>
      <w:r w:rsidR="000B19A2" w:rsidRPr="009C0164">
        <w:rPr>
          <w:rFonts w:ascii="Times New Roman" w:hAnsi="Times New Roman" w:cs="Times New Roman"/>
          <w:bCs/>
        </w:rPr>
        <w:t xml:space="preserve">destinação do lixo e </w:t>
      </w:r>
      <w:r w:rsidRPr="009C0164">
        <w:rPr>
          <w:rFonts w:ascii="Times New Roman" w:hAnsi="Times New Roman" w:cs="Times New Roman"/>
          <w:bCs/>
        </w:rPr>
        <w:t>abastecimento e tratamento de água.</w:t>
      </w:r>
    </w:p>
    <w:p w:rsidR="000313FF" w:rsidRPr="009C0164" w:rsidRDefault="000313FF" w:rsidP="009C0164">
      <w:pPr>
        <w:autoSpaceDE w:val="0"/>
        <w:autoSpaceDN w:val="0"/>
        <w:adjustRightInd w:val="0"/>
        <w:spacing w:before="120" w:after="120" w:line="240" w:lineRule="auto"/>
        <w:ind w:firstLine="709"/>
        <w:jc w:val="both"/>
        <w:rPr>
          <w:rFonts w:ascii="Times New Roman" w:hAnsi="Times New Roman" w:cs="Times New Roman"/>
          <w:bCs/>
        </w:rPr>
      </w:pPr>
    </w:p>
    <w:p w:rsidR="00892FF2" w:rsidRPr="009C0164" w:rsidRDefault="00892FF2" w:rsidP="003D0B42">
      <w:pPr>
        <w:autoSpaceDE w:val="0"/>
        <w:autoSpaceDN w:val="0"/>
        <w:adjustRightInd w:val="0"/>
        <w:spacing w:before="120" w:after="120" w:line="240" w:lineRule="auto"/>
        <w:jc w:val="both"/>
        <w:rPr>
          <w:rFonts w:ascii="Times New Roman" w:hAnsi="Times New Roman" w:cs="Times New Roman"/>
          <w:b/>
          <w:bCs/>
        </w:rPr>
      </w:pPr>
      <w:r w:rsidRPr="009C0164">
        <w:rPr>
          <w:rFonts w:ascii="Times New Roman" w:hAnsi="Times New Roman" w:cs="Times New Roman"/>
          <w:b/>
          <w:bCs/>
        </w:rPr>
        <w:t>Metodologia</w:t>
      </w:r>
    </w:p>
    <w:p w:rsidR="003D319F" w:rsidRPr="009C0164" w:rsidRDefault="002562CE"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Trata-se de um estudo q</w:t>
      </w:r>
      <w:r>
        <w:rPr>
          <w:rFonts w:ascii="Times New Roman" w:hAnsi="Times New Roman" w:cs="Times New Roman"/>
          <w:bCs/>
        </w:rPr>
        <w:t>uantitativo E ecológico</w:t>
      </w:r>
      <w:r w:rsidRPr="009C0164">
        <w:rPr>
          <w:rFonts w:ascii="Times New Roman" w:hAnsi="Times New Roman" w:cs="Times New Roman"/>
          <w:bCs/>
        </w:rPr>
        <w:t>, cuja unidade de análise foi o conjunto de internações hospitalares e de óbitos</w:t>
      </w:r>
      <w:r>
        <w:rPr>
          <w:rFonts w:ascii="Times New Roman" w:hAnsi="Times New Roman" w:cs="Times New Roman"/>
          <w:bCs/>
        </w:rPr>
        <w:t xml:space="preserve">, causadas </w:t>
      </w:r>
      <w:r w:rsidRPr="009C0164">
        <w:rPr>
          <w:rFonts w:ascii="Times New Roman" w:hAnsi="Times New Roman" w:cs="Times New Roman"/>
          <w:bCs/>
        </w:rPr>
        <w:t>pelas doenças de transmissão hídrica e alimentar (DTHA), CID-10 001 a 009, em relação às condições de abastecimento de água, condições sanitárias e de destinação de lixo.</w:t>
      </w:r>
    </w:p>
    <w:p w:rsidR="00932B2C" w:rsidRPr="009C0164" w:rsidRDefault="00932B2C" w:rsidP="009C0164">
      <w:pPr>
        <w:autoSpaceDE w:val="0"/>
        <w:autoSpaceDN w:val="0"/>
        <w:adjustRightInd w:val="0"/>
        <w:spacing w:before="120" w:after="120" w:line="240" w:lineRule="auto"/>
        <w:ind w:firstLine="709"/>
        <w:jc w:val="both"/>
        <w:rPr>
          <w:rFonts w:ascii="Times New Roman" w:hAnsi="Times New Roman" w:cs="Times New Roman"/>
          <w:bCs/>
        </w:rPr>
      </w:pPr>
    </w:p>
    <w:p w:rsidR="00932B2C" w:rsidRPr="003D0B42" w:rsidRDefault="00932B2C" w:rsidP="003D0B42">
      <w:pPr>
        <w:autoSpaceDE w:val="0"/>
        <w:autoSpaceDN w:val="0"/>
        <w:adjustRightInd w:val="0"/>
        <w:spacing w:before="120" w:after="120" w:line="240" w:lineRule="auto"/>
        <w:jc w:val="both"/>
        <w:rPr>
          <w:rFonts w:ascii="Times New Roman" w:hAnsi="Times New Roman" w:cs="Times New Roman"/>
          <w:bCs/>
          <w:i/>
        </w:rPr>
      </w:pPr>
      <w:r w:rsidRPr="003D0B42">
        <w:rPr>
          <w:rFonts w:ascii="Times New Roman" w:hAnsi="Times New Roman" w:cs="Times New Roman"/>
          <w:bCs/>
          <w:i/>
        </w:rPr>
        <w:t>Área de estudo</w:t>
      </w:r>
    </w:p>
    <w:p w:rsidR="0094258E" w:rsidRDefault="00162879" w:rsidP="009C0164">
      <w:pPr>
        <w:autoSpaceDE w:val="0"/>
        <w:autoSpaceDN w:val="0"/>
        <w:adjustRightInd w:val="0"/>
        <w:spacing w:before="120" w:after="120" w:line="240" w:lineRule="auto"/>
        <w:ind w:firstLine="709"/>
        <w:jc w:val="both"/>
        <w:rPr>
          <w:rFonts w:ascii="Times New Roman" w:hAnsi="Times New Roman" w:cs="Times New Roman"/>
          <w:shd w:val="clear" w:color="auto" w:fill="FFFFFF"/>
        </w:rPr>
      </w:pPr>
      <w:r w:rsidRPr="009C0164">
        <w:rPr>
          <w:rFonts w:ascii="Times New Roman" w:hAnsi="Times New Roman" w:cs="Times New Roman"/>
          <w:bCs/>
        </w:rPr>
        <w:t>Utilizou-se como unidades territoriais os municípios do Rio Grande do Sul</w:t>
      </w:r>
      <w:r w:rsidR="0094258E" w:rsidRPr="009C0164">
        <w:rPr>
          <w:rFonts w:ascii="Times New Roman" w:hAnsi="Times New Roman" w:cs="Times New Roman"/>
          <w:bCs/>
        </w:rPr>
        <w:t xml:space="preserve">, totalizando </w:t>
      </w:r>
      <w:r w:rsidR="00360E7B">
        <w:rPr>
          <w:rFonts w:ascii="Times New Roman" w:hAnsi="Times New Roman" w:cs="Times New Roman"/>
          <w:shd w:val="clear" w:color="auto" w:fill="FFFFFF"/>
        </w:rPr>
        <w:t xml:space="preserve">497 municípios. O estado </w:t>
      </w:r>
      <w:r w:rsidR="00586C43">
        <w:rPr>
          <w:rFonts w:ascii="Times New Roman" w:hAnsi="Times New Roman" w:cs="Times New Roman"/>
          <w:shd w:val="clear" w:color="auto" w:fill="FFFFFF"/>
        </w:rPr>
        <w:t xml:space="preserve">constitui </w:t>
      </w:r>
      <w:r w:rsidR="0094258E" w:rsidRPr="009C0164">
        <w:rPr>
          <w:rFonts w:ascii="Times New Roman" w:hAnsi="Times New Roman" w:cs="Times New Roman"/>
          <w:shd w:val="clear" w:color="auto" w:fill="FFFFFF"/>
        </w:rPr>
        <w:t xml:space="preserve">uma das 27 unidades federativas do País, situado no extremo sul, apresentando limites geográficos com o estado de Santa Catarina </w:t>
      </w:r>
      <w:r w:rsidR="0050054D">
        <w:rPr>
          <w:rFonts w:ascii="Times New Roman" w:hAnsi="Times New Roman" w:cs="Times New Roman"/>
          <w:shd w:val="clear" w:color="auto" w:fill="FFFFFF"/>
        </w:rPr>
        <w:t>(</w:t>
      </w:r>
      <w:r w:rsidR="0094258E" w:rsidRPr="009C0164">
        <w:rPr>
          <w:rFonts w:ascii="Times New Roman" w:hAnsi="Times New Roman" w:cs="Times New Roman"/>
          <w:shd w:val="clear" w:color="auto" w:fill="FFFFFF"/>
        </w:rPr>
        <w:t>norte</w:t>
      </w:r>
      <w:r w:rsidR="0050054D">
        <w:rPr>
          <w:rFonts w:ascii="Times New Roman" w:hAnsi="Times New Roman" w:cs="Times New Roman"/>
          <w:shd w:val="clear" w:color="auto" w:fill="FFFFFF"/>
        </w:rPr>
        <w:t>)</w:t>
      </w:r>
      <w:r w:rsidR="0094258E" w:rsidRPr="009C0164">
        <w:rPr>
          <w:rFonts w:ascii="Times New Roman" w:hAnsi="Times New Roman" w:cs="Times New Roman"/>
          <w:shd w:val="clear" w:color="auto" w:fill="FFFFFF"/>
        </w:rPr>
        <w:t xml:space="preserve">, a Argentina </w:t>
      </w:r>
      <w:r w:rsidR="0050054D">
        <w:rPr>
          <w:rFonts w:ascii="Times New Roman" w:hAnsi="Times New Roman" w:cs="Times New Roman"/>
          <w:shd w:val="clear" w:color="auto" w:fill="FFFFFF"/>
        </w:rPr>
        <w:t>(</w:t>
      </w:r>
      <w:r w:rsidR="0094258E" w:rsidRPr="009C0164">
        <w:rPr>
          <w:rFonts w:ascii="Times New Roman" w:hAnsi="Times New Roman" w:cs="Times New Roman"/>
          <w:shd w:val="clear" w:color="auto" w:fill="FFFFFF"/>
        </w:rPr>
        <w:t>oeste</w:t>
      </w:r>
      <w:r w:rsidR="0050054D">
        <w:rPr>
          <w:rFonts w:ascii="Times New Roman" w:hAnsi="Times New Roman" w:cs="Times New Roman"/>
          <w:shd w:val="clear" w:color="auto" w:fill="FFFFFF"/>
        </w:rPr>
        <w:t>)</w:t>
      </w:r>
      <w:r w:rsidR="0094258E" w:rsidRPr="009C0164">
        <w:rPr>
          <w:rFonts w:ascii="Times New Roman" w:hAnsi="Times New Roman" w:cs="Times New Roman"/>
          <w:shd w:val="clear" w:color="auto" w:fill="FFFFFF"/>
        </w:rPr>
        <w:t xml:space="preserve">, Uruguai </w:t>
      </w:r>
      <w:r w:rsidR="0050054D">
        <w:rPr>
          <w:rFonts w:ascii="Times New Roman" w:hAnsi="Times New Roman" w:cs="Times New Roman"/>
          <w:shd w:val="clear" w:color="auto" w:fill="FFFFFF"/>
        </w:rPr>
        <w:t>(</w:t>
      </w:r>
      <w:r w:rsidR="0094258E" w:rsidRPr="009C0164">
        <w:rPr>
          <w:rFonts w:ascii="Times New Roman" w:hAnsi="Times New Roman" w:cs="Times New Roman"/>
          <w:shd w:val="clear" w:color="auto" w:fill="FFFFFF"/>
        </w:rPr>
        <w:t>sul</w:t>
      </w:r>
      <w:r w:rsidR="00C30F66">
        <w:rPr>
          <w:rFonts w:ascii="Times New Roman" w:hAnsi="Times New Roman" w:cs="Times New Roman"/>
          <w:shd w:val="clear" w:color="auto" w:fill="FFFFFF"/>
        </w:rPr>
        <w:t>)</w:t>
      </w:r>
      <w:r w:rsidR="0094258E" w:rsidRPr="009C0164">
        <w:rPr>
          <w:rFonts w:ascii="Times New Roman" w:hAnsi="Times New Roman" w:cs="Times New Roman"/>
          <w:shd w:val="clear" w:color="auto" w:fill="FFFFFF"/>
        </w:rPr>
        <w:t xml:space="preserve"> e o Oceano Atlântico</w:t>
      </w:r>
      <w:r w:rsidR="00C30F66">
        <w:rPr>
          <w:rFonts w:ascii="Times New Roman" w:hAnsi="Times New Roman" w:cs="Times New Roman"/>
          <w:shd w:val="clear" w:color="auto" w:fill="FFFFFF"/>
        </w:rPr>
        <w:t xml:space="preserve"> (</w:t>
      </w:r>
      <w:r w:rsidR="0094258E" w:rsidRPr="009C0164">
        <w:rPr>
          <w:rFonts w:ascii="Times New Roman" w:hAnsi="Times New Roman" w:cs="Times New Roman"/>
          <w:shd w:val="clear" w:color="auto" w:fill="FFFFFF"/>
        </w:rPr>
        <w:t>leste</w:t>
      </w:r>
      <w:r w:rsidR="00C30F66">
        <w:rPr>
          <w:rFonts w:ascii="Times New Roman" w:hAnsi="Times New Roman" w:cs="Times New Roman"/>
          <w:shd w:val="clear" w:color="auto" w:fill="FFFFFF"/>
        </w:rPr>
        <w:t>)</w:t>
      </w:r>
      <w:r w:rsidR="0094258E" w:rsidRPr="009C0164">
        <w:rPr>
          <w:rFonts w:ascii="Times New Roman" w:hAnsi="Times New Roman" w:cs="Times New Roman"/>
          <w:shd w:val="clear" w:color="auto" w:fill="FFFFFF"/>
        </w:rPr>
        <w:t>.</w:t>
      </w:r>
    </w:p>
    <w:p w:rsidR="003F04DD" w:rsidRDefault="003F04DD" w:rsidP="003F04DD">
      <w:pPr>
        <w:autoSpaceDE w:val="0"/>
        <w:autoSpaceDN w:val="0"/>
        <w:adjustRightInd w:val="0"/>
        <w:spacing w:before="120" w:after="120" w:line="240" w:lineRule="auto"/>
        <w:ind w:firstLine="709"/>
        <w:jc w:val="both"/>
        <w:rPr>
          <w:rFonts w:ascii="Times New Roman" w:hAnsi="Times New Roman" w:cs="Times New Roman"/>
          <w:shd w:val="clear" w:color="auto" w:fill="FFFFFF"/>
        </w:rPr>
      </w:pPr>
      <w:r w:rsidRPr="00E065AA">
        <w:rPr>
          <w:rFonts w:ascii="Times New Roman" w:hAnsi="Times New Roman" w:cs="Times New Roman"/>
          <w:shd w:val="clear" w:color="auto" w:fill="FFFFFF"/>
        </w:rPr>
        <w:t xml:space="preserve">Estimou-se, no ano de 2018, população de 11.329.605, sendo que no censo mais recente, que </w:t>
      </w:r>
      <w:r w:rsidRPr="00E065AA">
        <w:rPr>
          <w:rFonts w:ascii="Times New Roman" w:hAnsi="Times New Roman" w:cs="Times New Roman"/>
          <w:shd w:val="clear" w:color="auto" w:fill="FFFFFF"/>
        </w:rPr>
        <w:lastRenderedPageBreak/>
        <w:t>ocorreu em 2010, apontou para 10.693.929 habitantes naquele período, área territorial de 281.731,445 km², resultando na densidade demográfica de 37,96 hab/km². Registraram-se 1.323.307 matrículas no ensino fundamental nas 6.052 escolas e 347.637 matrículas no ensino médio em 1.510 escolas, em 2017</w:t>
      </w:r>
      <w:bookmarkStart w:id="1" w:name="_Ref3623962"/>
      <w:r w:rsidRPr="00E065AA">
        <w:rPr>
          <w:rStyle w:val="Refdenotaderodap"/>
          <w:rFonts w:ascii="Times New Roman" w:hAnsi="Times New Roman" w:cs="Times New Roman"/>
          <w:shd w:val="clear" w:color="auto" w:fill="FFFFFF"/>
        </w:rPr>
        <w:footnoteReference w:id="4"/>
      </w:r>
      <w:bookmarkEnd w:id="1"/>
      <w:r w:rsidRPr="00E065AA">
        <w:rPr>
          <w:rFonts w:ascii="Times New Roman" w:hAnsi="Times New Roman" w:cs="Times New Roman"/>
          <w:shd w:val="clear" w:color="auto" w:fill="FFFFFF"/>
        </w:rPr>
        <w:t>.</w:t>
      </w:r>
    </w:p>
    <w:p w:rsidR="003F04DD" w:rsidRDefault="003F04DD" w:rsidP="003F04DD">
      <w:pPr>
        <w:autoSpaceDE w:val="0"/>
        <w:autoSpaceDN w:val="0"/>
        <w:adjustRightInd w:val="0"/>
        <w:spacing w:before="120" w:after="120" w:line="240" w:lineRule="auto"/>
        <w:ind w:firstLine="709"/>
        <w:jc w:val="both"/>
        <w:rPr>
          <w:rFonts w:ascii="Times New Roman" w:hAnsi="Times New Roman" w:cs="Times New Roman"/>
          <w:shd w:val="clear" w:color="auto" w:fill="FFFFFF"/>
        </w:rPr>
      </w:pPr>
      <w:r w:rsidRPr="009C0164">
        <w:rPr>
          <w:rFonts w:ascii="Times New Roman" w:hAnsi="Times New Roman" w:cs="Times New Roman"/>
          <w:shd w:val="clear" w:color="auto" w:fill="FFFFFF"/>
        </w:rPr>
        <w:t>O rendimento mensal domiciliar per capita foi calculado em R$ 1.635,00, com 67,6% da população com idade igual ou acima aos 16 anos em trabalho formal no ano de 2016, aumentando para 70,9 % em 2017</w:t>
      </w:r>
      <w:r>
        <w:rPr>
          <w:rFonts w:ascii="Times New Roman" w:hAnsi="Times New Roman" w:cs="Times New Roman"/>
          <w:shd w:val="clear" w:color="auto" w:fill="FFFFFF"/>
        </w:rPr>
        <w:t>,</w:t>
      </w:r>
      <w:r w:rsidRPr="009C0164">
        <w:rPr>
          <w:rFonts w:ascii="Times New Roman" w:hAnsi="Times New Roman" w:cs="Times New Roman"/>
          <w:shd w:val="clear" w:color="auto" w:fill="FFFFFF"/>
        </w:rPr>
        <w:t xml:space="preserve"> e rendimento médio de R$ 2.427,00. O Índice de Desenvolvimento Humano (IDH) no ano censitário foi de 0.746 (2010), apontando para um alto patamar e</w:t>
      </w:r>
      <w:r>
        <w:rPr>
          <w:rFonts w:ascii="Times New Roman" w:hAnsi="Times New Roman" w:cs="Times New Roman"/>
          <w:shd w:val="clear" w:color="auto" w:fill="FFFFFF"/>
        </w:rPr>
        <w:t xml:space="preserve">, </w:t>
      </w:r>
      <w:r w:rsidR="00074AAB">
        <w:rPr>
          <w:rFonts w:ascii="Times New Roman" w:hAnsi="Times New Roman" w:cs="Times New Roman"/>
          <w:shd w:val="clear" w:color="auto" w:fill="FFFFFF"/>
        </w:rPr>
        <w:t xml:space="preserve">com </w:t>
      </w:r>
      <w:r>
        <w:rPr>
          <w:rFonts w:ascii="Times New Roman" w:hAnsi="Times New Roman" w:cs="Times New Roman"/>
          <w:shd w:val="clear" w:color="auto" w:fill="FFFFFF"/>
        </w:rPr>
        <w:t>total de</w:t>
      </w:r>
      <w:r w:rsidRPr="009C0164">
        <w:rPr>
          <w:rFonts w:ascii="Times New Roman" w:hAnsi="Times New Roman" w:cs="Times New Roman"/>
          <w:shd w:val="clear" w:color="auto" w:fill="FFFFFF"/>
        </w:rPr>
        <w:t xml:space="preserve"> 6.650.259veículos, n</w:t>
      </w:r>
      <w:r>
        <w:rPr>
          <w:rFonts w:ascii="Times New Roman" w:hAnsi="Times New Roman" w:cs="Times New Roman"/>
          <w:shd w:val="clear" w:color="auto" w:fill="FFFFFF"/>
        </w:rPr>
        <w:t>o ano de 2016</w:t>
      </w:r>
      <w:r w:rsidR="00866A0F">
        <w:fldChar w:fldCharType="begin"/>
      </w:r>
      <w:r w:rsidR="00866A0F">
        <w:instrText xml:space="preserve"> NOTEREF _Ref3623962 \h  \* MERGEFORMAT </w:instrText>
      </w:r>
      <w:r w:rsidR="00866A0F">
        <w:fldChar w:fldCharType="separate"/>
      </w:r>
      <w:r w:rsidR="006946A7">
        <w:t>d</w:t>
      </w:r>
      <w:r w:rsidR="00866A0F">
        <w:fldChar w:fldCharType="end"/>
      </w:r>
      <w:r>
        <w:rPr>
          <w:rFonts w:ascii="Times New Roman" w:hAnsi="Times New Roman" w:cs="Times New Roman"/>
          <w:shd w:val="clear" w:color="auto" w:fill="FFFFFF"/>
        </w:rPr>
        <w:t>.</w:t>
      </w:r>
    </w:p>
    <w:p w:rsidR="00982A91" w:rsidRPr="00982A91" w:rsidRDefault="00982A91" w:rsidP="00982A91">
      <w:pPr>
        <w:autoSpaceDE w:val="0"/>
        <w:autoSpaceDN w:val="0"/>
        <w:adjustRightInd w:val="0"/>
        <w:spacing w:before="120" w:after="120" w:line="240" w:lineRule="auto"/>
        <w:ind w:firstLine="709"/>
        <w:jc w:val="both"/>
        <w:rPr>
          <w:rFonts w:ascii="Times New Roman" w:hAnsi="Times New Roman" w:cs="Times New Roman"/>
          <w:shd w:val="clear" w:color="auto" w:fill="FFFFFF"/>
        </w:rPr>
      </w:pPr>
      <w:r w:rsidRPr="00982A91">
        <w:rPr>
          <w:rFonts w:ascii="Times New Roman" w:hAnsi="Times New Roman" w:cs="Times New Roman"/>
          <w:shd w:val="clear" w:color="auto" w:fill="FFFFFF"/>
        </w:rPr>
        <w:t>O Rio Grande do Sul é um dos estados brasileiros com maior disponibilidade de águas superficiais. Seu território é drenado por uma densa malha hidrog</w:t>
      </w:r>
      <w:r w:rsidR="00C30F66">
        <w:rPr>
          <w:rFonts w:ascii="Times New Roman" w:hAnsi="Times New Roman" w:cs="Times New Roman"/>
          <w:shd w:val="clear" w:color="auto" w:fill="FFFFFF"/>
        </w:rPr>
        <w:t xml:space="preserve">ráfica superficial e conta com </w:t>
      </w:r>
      <w:r w:rsidR="00490F17">
        <w:rPr>
          <w:rFonts w:ascii="Times New Roman" w:hAnsi="Times New Roman" w:cs="Times New Roman"/>
          <w:shd w:val="clear" w:color="auto" w:fill="FFFFFF"/>
        </w:rPr>
        <w:t xml:space="preserve">três </w:t>
      </w:r>
      <w:r w:rsidR="00C30F66">
        <w:rPr>
          <w:rFonts w:ascii="Times New Roman" w:hAnsi="Times New Roman" w:cs="Times New Roman"/>
          <w:shd w:val="clear" w:color="auto" w:fill="FFFFFF"/>
        </w:rPr>
        <w:t xml:space="preserve">grandes bacias coletoras: </w:t>
      </w:r>
      <w:r w:rsidRPr="00982A91">
        <w:rPr>
          <w:rFonts w:ascii="Times New Roman" w:hAnsi="Times New Roman" w:cs="Times New Roman"/>
          <w:shd w:val="clear" w:color="auto" w:fill="FFFFFF"/>
        </w:rPr>
        <w:t>bacia do Uruguai, do Guaíba e a Litorânea. A bacia do Uruguai, que faz parte da Bacia do Rio da Prata, abrange cerca de 57% da área total do Est</w:t>
      </w:r>
      <w:r w:rsidR="00C30F66">
        <w:rPr>
          <w:rFonts w:ascii="Times New Roman" w:hAnsi="Times New Roman" w:cs="Times New Roman"/>
          <w:shd w:val="clear" w:color="auto" w:fill="FFFFFF"/>
        </w:rPr>
        <w:t xml:space="preserve">ado; a bacia do Guaíba abrange </w:t>
      </w:r>
      <w:r w:rsidRPr="00982A91">
        <w:rPr>
          <w:rFonts w:ascii="Times New Roman" w:hAnsi="Times New Roman" w:cs="Times New Roman"/>
          <w:shd w:val="clear" w:color="auto" w:fill="FFFFFF"/>
        </w:rPr>
        <w:t>30% da área do Estado e a Bacia Litorânea abrange 13% do total.</w:t>
      </w:r>
    </w:p>
    <w:p w:rsidR="00982A91" w:rsidRPr="00982A91" w:rsidRDefault="00982A91" w:rsidP="00982A91">
      <w:pPr>
        <w:autoSpaceDE w:val="0"/>
        <w:autoSpaceDN w:val="0"/>
        <w:adjustRightInd w:val="0"/>
        <w:spacing w:before="120" w:after="120" w:line="240" w:lineRule="auto"/>
        <w:ind w:firstLine="709"/>
        <w:jc w:val="both"/>
        <w:rPr>
          <w:rFonts w:ascii="Times New Roman" w:hAnsi="Times New Roman" w:cs="Times New Roman"/>
          <w:shd w:val="clear" w:color="auto" w:fill="FFFFFF"/>
        </w:rPr>
      </w:pPr>
      <w:r w:rsidRPr="00982A91">
        <w:rPr>
          <w:rFonts w:ascii="Times New Roman" w:hAnsi="Times New Roman" w:cs="Times New Roman"/>
          <w:shd w:val="clear" w:color="auto" w:fill="FFFFFF"/>
        </w:rPr>
        <w:t>O uso do solo da bacia do Uruguai está vinculado</w:t>
      </w:r>
      <w:r w:rsidR="00C30F66">
        <w:rPr>
          <w:rFonts w:ascii="Times New Roman" w:hAnsi="Times New Roman" w:cs="Times New Roman"/>
          <w:shd w:val="clear" w:color="auto" w:fill="FFFFFF"/>
        </w:rPr>
        <w:t>,</w:t>
      </w:r>
      <w:r w:rsidRPr="00982A91">
        <w:rPr>
          <w:rFonts w:ascii="Times New Roman" w:hAnsi="Times New Roman" w:cs="Times New Roman"/>
          <w:shd w:val="clear" w:color="auto" w:fill="FFFFFF"/>
        </w:rPr>
        <w:t xml:space="preserve"> principalmente</w:t>
      </w:r>
      <w:r w:rsidR="00C30F66">
        <w:rPr>
          <w:rFonts w:ascii="Times New Roman" w:hAnsi="Times New Roman" w:cs="Times New Roman"/>
          <w:shd w:val="clear" w:color="auto" w:fill="FFFFFF"/>
        </w:rPr>
        <w:t>,</w:t>
      </w:r>
      <w:r w:rsidRPr="00982A91">
        <w:rPr>
          <w:rFonts w:ascii="Times New Roman" w:hAnsi="Times New Roman" w:cs="Times New Roman"/>
          <w:shd w:val="clear" w:color="auto" w:fill="FFFFFF"/>
        </w:rPr>
        <w:t xml:space="preserve"> às atividades agrícolas, pecuárias e agroindustriais. A bacia do Guaíba apresenta áreas de grande concentração industrial e urbana, sendo a mais densamente povoada do Estado, além de sediar o maior número de atividades diversificadas, incluindo as atividades agrícolas e pecuárias e agroindustriais, industriais, comerciais e de serviços. A bacia litorânea apresenta usos do solo predominantemente vinculados às atividades agropecuárias, agroindustriais e industriais.</w:t>
      </w:r>
    </w:p>
    <w:p w:rsidR="00982A91" w:rsidRPr="00E065AA" w:rsidRDefault="00982A91" w:rsidP="00982A91">
      <w:pPr>
        <w:autoSpaceDE w:val="0"/>
        <w:autoSpaceDN w:val="0"/>
        <w:adjustRightInd w:val="0"/>
        <w:spacing w:before="120" w:after="120" w:line="240" w:lineRule="auto"/>
        <w:ind w:firstLine="709"/>
        <w:jc w:val="both"/>
        <w:rPr>
          <w:rFonts w:ascii="Times New Roman" w:hAnsi="Times New Roman" w:cs="Times New Roman"/>
          <w:shd w:val="clear" w:color="auto" w:fill="FFFFFF"/>
        </w:rPr>
      </w:pPr>
      <w:r w:rsidRPr="00982A91">
        <w:rPr>
          <w:rFonts w:ascii="Times New Roman" w:hAnsi="Times New Roman" w:cs="Times New Roman"/>
          <w:shd w:val="clear" w:color="auto" w:fill="FFFFFF"/>
        </w:rPr>
        <w:t xml:space="preserve">No Rio Grande do Sul a gestão dos recursos hídricos alcançou importantes avanços com a instalação dos Comitês de Gerenciamento de Bacias Hidrográficas, cujo trabalho visa definir instrumentos de planejamento e gestão dos recursos hídricos, promovendo a sua recuperação e conservação. Das 23 sub-bacias do Estado, 15 contam com Comitês instalados e operantes, 4 apresentam comissões provisórias e 4 são bacias </w:t>
      </w:r>
      <w:r w:rsidRPr="00E065AA">
        <w:rPr>
          <w:rFonts w:ascii="Times New Roman" w:hAnsi="Times New Roman" w:cs="Times New Roman"/>
          <w:shd w:val="clear" w:color="auto" w:fill="FFFFFF"/>
        </w:rPr>
        <w:t>compartilhadas que necessitam de tratamento especial.</w:t>
      </w:r>
    </w:p>
    <w:p w:rsidR="0094258E" w:rsidRPr="009C0164" w:rsidRDefault="0094258E" w:rsidP="009C0164">
      <w:pPr>
        <w:autoSpaceDE w:val="0"/>
        <w:autoSpaceDN w:val="0"/>
        <w:adjustRightInd w:val="0"/>
        <w:spacing w:before="120" w:after="120" w:line="240" w:lineRule="auto"/>
        <w:ind w:firstLine="709"/>
        <w:jc w:val="both"/>
        <w:rPr>
          <w:rFonts w:ascii="Times New Roman" w:hAnsi="Times New Roman" w:cs="Times New Roman"/>
          <w:shd w:val="clear" w:color="auto" w:fill="FFFFFF"/>
        </w:rPr>
      </w:pPr>
      <w:r w:rsidRPr="00E065AA">
        <w:rPr>
          <w:rFonts w:ascii="Times New Roman" w:hAnsi="Times New Roman" w:cs="Times New Roman"/>
        </w:rPr>
        <w:t>O estado contempla dois biomas, o bioma Mata Atlântica e o bioma Pampa, dos quais derivam-se distintos ecossistemas, cada</w:t>
      </w:r>
      <w:r w:rsidRPr="009C0164">
        <w:rPr>
          <w:rFonts w:ascii="Times New Roman" w:hAnsi="Times New Roman" w:cs="Times New Roman"/>
        </w:rPr>
        <w:t xml:space="preserve"> qual caracterizado por singularidades relacionadas ao clima, aos solos e ao relevo, ou seja, em biodiversidade local. </w:t>
      </w:r>
      <w:r w:rsidRPr="009C0164">
        <w:rPr>
          <w:rFonts w:ascii="Times New Roman" w:hAnsi="Times New Roman" w:cs="Times New Roman"/>
          <w:shd w:val="clear" w:color="auto" w:fill="FFFFFF"/>
        </w:rPr>
        <w:t>Caracteriza-se por relevo de extensa baixada, tendo ao norte por um planalto, o clima é subtropical e a economia fundamentada na agricultura (principalmente com o cultivo de soja, trigo, arroz e milho), pecuária e indústria (especialmente ligada ao couro/calçados, alimentícia, têxtil, madeireira, metalúrgica e química)</w:t>
      </w:r>
      <w:r w:rsidR="00866A0F">
        <w:fldChar w:fldCharType="begin"/>
      </w:r>
      <w:r w:rsidR="00866A0F">
        <w:instrText xml:space="preserve"> NOTEREF _Ref3623962 \f \h  \* MERGEFORMAT </w:instrText>
      </w:r>
      <w:r w:rsidR="00866A0F">
        <w:fldChar w:fldCharType="separate"/>
      </w:r>
      <w:r w:rsidR="006946A7" w:rsidRPr="00B9797F">
        <w:t>d</w:t>
      </w:r>
      <w:r w:rsidR="00866A0F">
        <w:fldChar w:fldCharType="end"/>
      </w:r>
      <w:r w:rsidRPr="009C0164">
        <w:rPr>
          <w:rFonts w:ascii="Times New Roman" w:hAnsi="Times New Roman" w:cs="Times New Roman"/>
          <w:shd w:val="clear" w:color="auto" w:fill="FFFFFF"/>
        </w:rPr>
        <w:t>.</w:t>
      </w:r>
    </w:p>
    <w:p w:rsidR="0094258E" w:rsidRPr="00525E25" w:rsidRDefault="0094258E" w:rsidP="009C0164">
      <w:pPr>
        <w:autoSpaceDE w:val="0"/>
        <w:autoSpaceDN w:val="0"/>
        <w:adjustRightInd w:val="0"/>
        <w:spacing w:before="120" w:after="120" w:line="240" w:lineRule="auto"/>
        <w:ind w:firstLine="709"/>
        <w:jc w:val="both"/>
        <w:rPr>
          <w:rFonts w:ascii="Times New Roman" w:hAnsi="Times New Roman" w:cs="Times New Roman"/>
          <w:shd w:val="clear" w:color="auto" w:fill="FFFFFF"/>
        </w:rPr>
      </w:pPr>
      <w:r w:rsidRPr="009C0164">
        <w:rPr>
          <w:rFonts w:ascii="Times New Roman" w:hAnsi="Times New Roman" w:cs="Times New Roman"/>
        </w:rPr>
        <w:t>O Brasil tem como característica o elevado número de municípios de pequeno porte, os dados apontam que em 2010, 60% dos municípios brasileiros contavam com população igual ou inferior a 15.000 habitantes. O cenário do estado do Rio Grande do Sul é semelhante, cerca de 75% dos municípios apresentavam menos de 15.000 habitante</w:t>
      </w:r>
      <w:r w:rsidR="00C319DE" w:rsidRPr="009C0164">
        <w:rPr>
          <w:rStyle w:val="Refdenotaderodap"/>
          <w:rFonts w:ascii="Times New Roman" w:hAnsi="Times New Roman" w:cs="Times New Roman"/>
        </w:rPr>
        <w:footnoteReference w:id="5"/>
      </w:r>
      <w:r w:rsidRPr="009C0164">
        <w:rPr>
          <w:rFonts w:ascii="Times New Roman" w:hAnsi="Times New Roman" w:cs="Times New Roman"/>
        </w:rPr>
        <w:t>.</w:t>
      </w:r>
    </w:p>
    <w:p w:rsidR="00932B2C" w:rsidRPr="009C0164" w:rsidRDefault="00932B2C" w:rsidP="009C0164">
      <w:pPr>
        <w:autoSpaceDE w:val="0"/>
        <w:autoSpaceDN w:val="0"/>
        <w:adjustRightInd w:val="0"/>
        <w:spacing w:before="120" w:after="120" w:line="240" w:lineRule="auto"/>
        <w:ind w:firstLine="709"/>
        <w:jc w:val="both"/>
        <w:rPr>
          <w:rFonts w:ascii="Times New Roman" w:hAnsi="Times New Roman" w:cs="Times New Roman"/>
        </w:rPr>
      </w:pPr>
    </w:p>
    <w:p w:rsidR="00932B2C" w:rsidRPr="00E875D0" w:rsidRDefault="00932B2C" w:rsidP="00E875D0">
      <w:pPr>
        <w:autoSpaceDE w:val="0"/>
        <w:autoSpaceDN w:val="0"/>
        <w:adjustRightInd w:val="0"/>
        <w:spacing w:before="120" w:after="120" w:line="240" w:lineRule="auto"/>
        <w:jc w:val="both"/>
        <w:rPr>
          <w:rFonts w:ascii="Times New Roman" w:hAnsi="Times New Roman" w:cs="Times New Roman"/>
          <w:bCs/>
          <w:i/>
        </w:rPr>
      </w:pPr>
      <w:r w:rsidRPr="00E875D0">
        <w:rPr>
          <w:rFonts w:ascii="Times New Roman" w:hAnsi="Times New Roman" w:cs="Times New Roman"/>
          <w:i/>
        </w:rPr>
        <w:t>Variáveis utilizadas</w:t>
      </w:r>
    </w:p>
    <w:p w:rsidR="00162879" w:rsidRPr="009C0164" w:rsidRDefault="00CA4447"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Justifica-se a escolha pelo estudo </w:t>
      </w:r>
      <w:r w:rsidR="00452C6E">
        <w:rPr>
          <w:rFonts w:ascii="Times New Roman" w:hAnsi="Times New Roman" w:cs="Times New Roman"/>
          <w:bCs/>
        </w:rPr>
        <w:t>ecológico</w:t>
      </w:r>
      <w:r w:rsidRPr="009C0164">
        <w:rPr>
          <w:rFonts w:ascii="Times New Roman" w:hAnsi="Times New Roman" w:cs="Times New Roman"/>
          <w:bCs/>
        </w:rPr>
        <w:t xml:space="preserve"> considerando-se que </w:t>
      </w:r>
      <w:r w:rsidR="00162879" w:rsidRPr="009C0164">
        <w:rPr>
          <w:rFonts w:ascii="Times New Roman" w:hAnsi="Times New Roman" w:cs="Times New Roman"/>
          <w:bCs/>
        </w:rPr>
        <w:t>os eventos em saúde como, por exemplo, a morbidade</w:t>
      </w:r>
      <w:r w:rsidRPr="009C0164">
        <w:rPr>
          <w:rFonts w:ascii="Times New Roman" w:hAnsi="Times New Roman" w:cs="Times New Roman"/>
          <w:bCs/>
        </w:rPr>
        <w:t xml:space="preserve">, </w:t>
      </w:r>
      <w:r w:rsidR="00162879" w:rsidRPr="009C0164">
        <w:rPr>
          <w:rFonts w:ascii="Times New Roman" w:hAnsi="Times New Roman" w:cs="Times New Roman"/>
          <w:bCs/>
        </w:rPr>
        <w:t>a mortalidade</w:t>
      </w:r>
      <w:r w:rsidRPr="009C0164">
        <w:rPr>
          <w:rFonts w:ascii="Times New Roman" w:hAnsi="Times New Roman" w:cs="Times New Roman"/>
          <w:bCs/>
        </w:rPr>
        <w:t>, os surtos infecciosos,</w:t>
      </w:r>
      <w:r w:rsidR="00162879" w:rsidRPr="009C0164">
        <w:rPr>
          <w:rFonts w:ascii="Times New Roman" w:hAnsi="Times New Roman" w:cs="Times New Roman"/>
          <w:bCs/>
        </w:rPr>
        <w:t xml:space="preserve"> não estão dispersos aleatoriamente no espaço geográfico. </w:t>
      </w:r>
      <w:r w:rsidRPr="009C0164">
        <w:rPr>
          <w:rFonts w:ascii="Times New Roman" w:hAnsi="Times New Roman" w:cs="Times New Roman"/>
          <w:bCs/>
        </w:rPr>
        <w:t xml:space="preserve">Estes eventos </w:t>
      </w:r>
      <w:r w:rsidR="00162879" w:rsidRPr="009C0164">
        <w:rPr>
          <w:rFonts w:ascii="Times New Roman" w:hAnsi="Times New Roman" w:cs="Times New Roman"/>
          <w:bCs/>
        </w:rPr>
        <w:t>ocorrem em maior ou menor escala relacionados com condições socioeconômicas, ambientais e situações de saúde (</w:t>
      </w:r>
      <w:r w:rsidR="00A90EC5" w:rsidRPr="009C0164">
        <w:rPr>
          <w:rFonts w:ascii="Times New Roman" w:hAnsi="Times New Roman" w:cs="Times New Roman"/>
          <w:bCs/>
        </w:rPr>
        <w:t>Brasil</w:t>
      </w:r>
      <w:r w:rsidR="00A90EC5">
        <w:rPr>
          <w:rFonts w:ascii="Times New Roman" w:hAnsi="Times New Roman" w:cs="Times New Roman"/>
          <w:bCs/>
        </w:rPr>
        <w:t>, 2007</w:t>
      </w:r>
      <w:r w:rsidR="00162879" w:rsidRPr="009C0164">
        <w:rPr>
          <w:rFonts w:ascii="Times New Roman" w:hAnsi="Times New Roman" w:cs="Times New Roman"/>
          <w:bCs/>
        </w:rPr>
        <w:t>).</w:t>
      </w:r>
    </w:p>
    <w:p w:rsidR="00525E25" w:rsidRDefault="00362C2A"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Os estudos do tipo ecológico </w:t>
      </w:r>
      <w:r w:rsidR="00162879" w:rsidRPr="009C0164">
        <w:rPr>
          <w:rFonts w:ascii="Times New Roman" w:hAnsi="Times New Roman" w:cs="Times New Roman"/>
          <w:bCs/>
        </w:rPr>
        <w:t>analisam os eventos que ocorrem em determinadas áreas geográficas definidas (</w:t>
      </w:r>
      <w:r w:rsidR="001D12E9">
        <w:rPr>
          <w:rFonts w:ascii="Times New Roman" w:hAnsi="Times New Roman" w:cs="Times New Roman"/>
          <w:bCs/>
        </w:rPr>
        <w:t xml:space="preserve">Rouquayrol e </w:t>
      </w:r>
      <w:r w:rsidR="001D12E9" w:rsidRPr="009C0164">
        <w:rPr>
          <w:rFonts w:ascii="Times New Roman" w:hAnsi="Times New Roman" w:cs="Times New Roman"/>
          <w:bCs/>
        </w:rPr>
        <w:t>Almeida Filho</w:t>
      </w:r>
      <w:r w:rsidR="00162879" w:rsidRPr="009C0164">
        <w:rPr>
          <w:rFonts w:ascii="Times New Roman" w:hAnsi="Times New Roman" w:cs="Times New Roman"/>
          <w:bCs/>
        </w:rPr>
        <w:t>, 2003) e possibilitam o “entendimento da variação do risco de adoecer entre diferentes grupos populacionais” (</w:t>
      </w:r>
      <w:r w:rsidR="001D12E9" w:rsidRPr="009C0164">
        <w:rPr>
          <w:rFonts w:ascii="Times New Roman" w:hAnsi="Times New Roman" w:cs="Times New Roman"/>
          <w:bCs/>
        </w:rPr>
        <w:t>Brasil</w:t>
      </w:r>
      <w:r w:rsidR="001D12E9">
        <w:rPr>
          <w:rFonts w:ascii="Times New Roman" w:hAnsi="Times New Roman" w:cs="Times New Roman"/>
          <w:bCs/>
        </w:rPr>
        <w:t xml:space="preserve">, 2007, </w:t>
      </w:r>
      <w:r w:rsidR="00162879" w:rsidRPr="009C0164">
        <w:rPr>
          <w:rFonts w:ascii="Times New Roman" w:hAnsi="Times New Roman" w:cs="Times New Roman"/>
          <w:bCs/>
        </w:rPr>
        <w:t>p.15), levando em consideração os fatores socioeconômicos e ambientais envolvidos.</w:t>
      </w:r>
    </w:p>
    <w:p w:rsidR="00E661DA" w:rsidRPr="00525E25" w:rsidRDefault="002562CE" w:rsidP="009C0164">
      <w:pPr>
        <w:autoSpaceDE w:val="0"/>
        <w:autoSpaceDN w:val="0"/>
        <w:adjustRightInd w:val="0"/>
        <w:spacing w:before="120" w:after="120" w:line="240" w:lineRule="auto"/>
        <w:ind w:firstLine="709"/>
        <w:jc w:val="both"/>
        <w:rPr>
          <w:rFonts w:ascii="Times New Roman" w:hAnsi="Times New Roman" w:cs="Times New Roman"/>
          <w:bCs/>
        </w:rPr>
      </w:pPr>
      <w:r>
        <w:rPr>
          <w:rFonts w:ascii="Times New Roman" w:hAnsi="Times New Roman" w:cs="Times New Roman"/>
          <w:bCs/>
        </w:rPr>
        <w:t>As v</w:t>
      </w:r>
      <w:r w:rsidRPr="009C0164">
        <w:rPr>
          <w:rFonts w:ascii="Times New Roman" w:hAnsi="Times New Roman" w:cs="Times New Roman"/>
          <w:bCs/>
        </w:rPr>
        <w:t xml:space="preserve">ariáveis </w:t>
      </w:r>
      <w:r>
        <w:rPr>
          <w:rFonts w:ascii="Times New Roman" w:hAnsi="Times New Roman" w:cs="Times New Roman"/>
          <w:bCs/>
        </w:rPr>
        <w:t xml:space="preserve">utilizadas são </w:t>
      </w:r>
      <w:r w:rsidRPr="009C0164">
        <w:rPr>
          <w:rFonts w:ascii="Times New Roman" w:hAnsi="Times New Roman" w:cs="Times New Roman"/>
          <w:bCs/>
        </w:rPr>
        <w:t>oriundas do Departamento de Informática do Sistema Único de Saúde (DATASUS), categorizadas em Indicadores de Saneamento e Indicadores de Saúde.</w:t>
      </w:r>
      <w:r>
        <w:rPr>
          <w:rFonts w:ascii="Times New Roman" w:hAnsi="Times New Roman" w:cs="Times New Roman"/>
          <w:bCs/>
        </w:rPr>
        <w:t>O</w:t>
      </w:r>
      <w:r w:rsidRPr="009C0164">
        <w:rPr>
          <w:rFonts w:ascii="Times New Roman" w:hAnsi="Times New Roman" w:cs="Times New Roman"/>
          <w:bCs/>
        </w:rPr>
        <w:t xml:space="preserve">s indicadores de Saneamento </w:t>
      </w:r>
      <w:r>
        <w:rPr>
          <w:rFonts w:ascii="Times New Roman" w:hAnsi="Times New Roman" w:cs="Times New Roman"/>
          <w:bCs/>
        </w:rPr>
        <w:t xml:space="preserve">foram coletados </w:t>
      </w:r>
      <w:r w:rsidRPr="009C0164">
        <w:rPr>
          <w:rFonts w:ascii="Times New Roman" w:hAnsi="Times New Roman" w:cs="Times New Roman"/>
          <w:bCs/>
        </w:rPr>
        <w:t xml:space="preserve">no Sistema de Informação de Atenção </w:t>
      </w:r>
      <w:r w:rsidRPr="009C0164">
        <w:rPr>
          <w:rFonts w:ascii="Times New Roman" w:hAnsi="Times New Roman" w:cs="Times New Roman"/>
          <w:bCs/>
        </w:rPr>
        <w:lastRenderedPageBreak/>
        <w:t>Básica</w:t>
      </w:r>
      <w:r w:rsidRPr="009C0164">
        <w:rPr>
          <w:rStyle w:val="Refdenotaderodap"/>
          <w:rFonts w:ascii="Times New Roman" w:hAnsi="Times New Roman" w:cs="Times New Roman"/>
          <w:bCs/>
        </w:rPr>
        <w:footnoteReference w:id="6"/>
      </w:r>
      <w:r>
        <w:rPr>
          <w:rFonts w:ascii="Times New Roman" w:hAnsi="Times New Roman" w:cs="Times New Roman"/>
          <w:bCs/>
        </w:rPr>
        <w:t xml:space="preserve">, </w:t>
      </w:r>
      <w:r w:rsidRPr="009C0164">
        <w:rPr>
          <w:rFonts w:ascii="Times New Roman" w:hAnsi="Times New Roman" w:cs="Times New Roman"/>
          <w:bCs/>
        </w:rPr>
        <w:t xml:space="preserve">provenientes cadastramento e acompanhamento mensal das famílias pelos </w:t>
      </w:r>
      <w:r w:rsidRPr="009C0164">
        <w:rPr>
          <w:rFonts w:ascii="Times New Roman" w:hAnsi="Times New Roman" w:cs="Times New Roman"/>
        </w:rPr>
        <w:t xml:space="preserve">Agentes Comunitários de Saúde (ACS), </w:t>
      </w:r>
      <w:r>
        <w:rPr>
          <w:rFonts w:ascii="Times New Roman" w:hAnsi="Times New Roman" w:cs="Times New Roman"/>
        </w:rPr>
        <w:t xml:space="preserve">os quais </w:t>
      </w:r>
      <w:r w:rsidRPr="009C0164">
        <w:rPr>
          <w:rFonts w:ascii="Times New Roman" w:hAnsi="Times New Roman" w:cs="Times New Roman"/>
        </w:rPr>
        <w:t>identificam a situação de saneamento e moradia das famílias</w:t>
      </w:r>
      <w:r w:rsidRPr="009C0164">
        <w:rPr>
          <w:rStyle w:val="Refdenotaderodap"/>
          <w:rFonts w:ascii="Times New Roman" w:hAnsi="Times New Roman" w:cs="Times New Roman"/>
        </w:rPr>
        <w:footnoteReference w:id="7"/>
      </w:r>
      <w:r>
        <w:rPr>
          <w:rFonts w:ascii="Times New Roman" w:hAnsi="Times New Roman" w:cs="Times New Roman"/>
        </w:rPr>
        <w:t>.</w:t>
      </w:r>
    </w:p>
    <w:p w:rsidR="00A02EF0" w:rsidRPr="009C0164" w:rsidRDefault="00EB7B83"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Para os Indicadores de Saneamento analisaram-se as seguintes variáveis</w:t>
      </w:r>
      <w:r w:rsidR="00A02EF0" w:rsidRPr="009C0164">
        <w:rPr>
          <w:rFonts w:ascii="Times New Roman" w:hAnsi="Times New Roman" w:cs="Times New Roman"/>
          <w:bCs/>
        </w:rPr>
        <w:t>:</w:t>
      </w:r>
    </w:p>
    <w:p w:rsidR="00267312" w:rsidRPr="00525E25" w:rsidRDefault="00267312" w:rsidP="00E875D0">
      <w:pPr>
        <w:pStyle w:val="PargrafodaLista"/>
        <w:numPr>
          <w:ilvl w:val="0"/>
          <w:numId w:val="1"/>
        </w:numPr>
        <w:tabs>
          <w:tab w:val="left" w:pos="284"/>
        </w:tabs>
        <w:autoSpaceDE w:val="0"/>
        <w:autoSpaceDN w:val="0"/>
        <w:adjustRightInd w:val="0"/>
        <w:spacing w:before="120" w:after="120" w:line="240" w:lineRule="auto"/>
        <w:ind w:left="284" w:hanging="284"/>
        <w:jc w:val="both"/>
        <w:rPr>
          <w:rFonts w:ascii="Times New Roman" w:hAnsi="Times New Roman" w:cs="Times New Roman"/>
          <w:b/>
          <w:bCs/>
        </w:rPr>
      </w:pPr>
      <w:r w:rsidRPr="00525E25">
        <w:rPr>
          <w:rFonts w:ascii="Times New Roman" w:hAnsi="Times New Roman" w:cs="Times New Roman"/>
          <w:b/>
        </w:rPr>
        <w:t>Abastecimento de água - número de domicílios com abastecimento de água, de acordo com a seguinte classificação:</w:t>
      </w:r>
    </w:p>
    <w:p w:rsidR="00A02EF0" w:rsidRPr="009C0164" w:rsidRDefault="00267312" w:rsidP="00E875D0">
      <w:pPr>
        <w:pStyle w:val="PargrafodaLista"/>
        <w:numPr>
          <w:ilvl w:val="0"/>
          <w:numId w:val="2"/>
        </w:numPr>
        <w:tabs>
          <w:tab w:val="left" w:pos="284"/>
        </w:tabs>
        <w:autoSpaceDE w:val="0"/>
        <w:autoSpaceDN w:val="0"/>
        <w:adjustRightInd w:val="0"/>
        <w:spacing w:before="120" w:after="120" w:line="240" w:lineRule="auto"/>
        <w:ind w:left="284" w:hanging="284"/>
        <w:jc w:val="both"/>
        <w:rPr>
          <w:rFonts w:ascii="Times New Roman" w:hAnsi="Times New Roman" w:cs="Times New Roman"/>
          <w:bCs/>
        </w:rPr>
      </w:pPr>
      <w:r w:rsidRPr="009C0164">
        <w:rPr>
          <w:rFonts w:ascii="Times New Roman" w:hAnsi="Times New Roman" w:cs="Times New Roman"/>
          <w:bCs/>
        </w:rPr>
        <w:t>r</w:t>
      </w:r>
      <w:r w:rsidR="00A02EF0" w:rsidRPr="009C0164">
        <w:rPr>
          <w:rFonts w:ascii="Times New Roman" w:hAnsi="Times New Roman" w:cs="Times New Roman"/>
          <w:bCs/>
        </w:rPr>
        <w:t>ede geral ou pública - domicílio servido de água proveniente de uma rede geral de abastecimento, no domicílio ou no peridomicílio;</w:t>
      </w:r>
    </w:p>
    <w:p w:rsidR="00A02EF0" w:rsidRPr="009C0164" w:rsidRDefault="00A02EF0" w:rsidP="00E875D0">
      <w:pPr>
        <w:pStyle w:val="PargrafodaLista"/>
        <w:numPr>
          <w:ilvl w:val="0"/>
          <w:numId w:val="2"/>
        </w:numPr>
        <w:tabs>
          <w:tab w:val="left" w:pos="284"/>
        </w:tabs>
        <w:autoSpaceDE w:val="0"/>
        <w:autoSpaceDN w:val="0"/>
        <w:adjustRightInd w:val="0"/>
        <w:spacing w:before="120" w:after="120" w:line="240" w:lineRule="auto"/>
        <w:ind w:left="284" w:hanging="284"/>
        <w:jc w:val="both"/>
        <w:rPr>
          <w:rFonts w:ascii="Times New Roman" w:hAnsi="Times New Roman" w:cs="Times New Roman"/>
          <w:bCs/>
        </w:rPr>
      </w:pPr>
      <w:r w:rsidRPr="009C0164">
        <w:rPr>
          <w:rFonts w:ascii="Times New Roman" w:hAnsi="Times New Roman" w:cs="Times New Roman"/>
          <w:bCs/>
        </w:rPr>
        <w:t>poço ou nascente - domicílio servido de água proveniente de poço ou nascente próprios;</w:t>
      </w:r>
    </w:p>
    <w:p w:rsidR="00A02EF0" w:rsidRPr="009C0164" w:rsidRDefault="007E57E3" w:rsidP="00E875D0">
      <w:pPr>
        <w:pStyle w:val="PargrafodaLista"/>
        <w:numPr>
          <w:ilvl w:val="0"/>
          <w:numId w:val="2"/>
        </w:numPr>
        <w:tabs>
          <w:tab w:val="left" w:pos="284"/>
        </w:tabs>
        <w:autoSpaceDE w:val="0"/>
        <w:autoSpaceDN w:val="0"/>
        <w:adjustRightInd w:val="0"/>
        <w:spacing w:before="120" w:after="120" w:line="240" w:lineRule="auto"/>
        <w:ind w:left="284" w:hanging="284"/>
        <w:jc w:val="both"/>
        <w:rPr>
          <w:rFonts w:ascii="Times New Roman" w:hAnsi="Times New Roman" w:cs="Times New Roman"/>
          <w:bCs/>
        </w:rPr>
      </w:pPr>
      <w:r>
        <w:rPr>
          <w:rFonts w:ascii="Times New Roman" w:hAnsi="Times New Roman" w:cs="Times New Roman"/>
          <w:bCs/>
        </w:rPr>
        <w:t>o</w:t>
      </w:r>
      <w:r w:rsidR="00A02EF0" w:rsidRPr="009C0164">
        <w:rPr>
          <w:rFonts w:ascii="Times New Roman" w:hAnsi="Times New Roman" w:cs="Times New Roman"/>
          <w:bCs/>
        </w:rPr>
        <w:t>utros - domicílio abastecido com água de chuva, carro-pipa, ou apanhada em fonte pública, poço, ou bica, fora do domicílio ou peridomicílio.</w:t>
      </w:r>
    </w:p>
    <w:p w:rsidR="00A02EF0" w:rsidRPr="00525E25" w:rsidRDefault="00A02EF0" w:rsidP="00E875D0">
      <w:pPr>
        <w:pStyle w:val="PargrafodaLista"/>
        <w:numPr>
          <w:ilvl w:val="0"/>
          <w:numId w:val="1"/>
        </w:numPr>
        <w:tabs>
          <w:tab w:val="left" w:pos="284"/>
        </w:tabs>
        <w:autoSpaceDE w:val="0"/>
        <w:autoSpaceDN w:val="0"/>
        <w:adjustRightInd w:val="0"/>
        <w:spacing w:before="120" w:after="120" w:line="240" w:lineRule="auto"/>
        <w:ind w:left="284" w:hanging="284"/>
        <w:jc w:val="both"/>
        <w:rPr>
          <w:rFonts w:ascii="Times New Roman" w:hAnsi="Times New Roman" w:cs="Times New Roman"/>
          <w:b/>
          <w:bCs/>
        </w:rPr>
      </w:pPr>
      <w:r w:rsidRPr="00525E25">
        <w:rPr>
          <w:rFonts w:ascii="Times New Roman" w:hAnsi="Times New Roman" w:cs="Times New Roman"/>
          <w:b/>
          <w:bCs/>
        </w:rPr>
        <w:t xml:space="preserve">Destino de fezes e urina - número de domicílios de acordo com o destino dado às fezes </w:t>
      </w:r>
      <w:r w:rsidR="00267312" w:rsidRPr="00525E25">
        <w:rPr>
          <w:rFonts w:ascii="Times New Roman" w:hAnsi="Times New Roman" w:cs="Times New Roman"/>
          <w:b/>
          <w:bCs/>
        </w:rPr>
        <w:t>e urina do domicílio:</w:t>
      </w:r>
    </w:p>
    <w:p w:rsidR="00A02EF0" w:rsidRPr="009C0164" w:rsidRDefault="00A02EF0" w:rsidP="00E875D0">
      <w:pPr>
        <w:pStyle w:val="PargrafodaLista"/>
        <w:numPr>
          <w:ilvl w:val="0"/>
          <w:numId w:val="2"/>
        </w:numPr>
        <w:tabs>
          <w:tab w:val="left" w:pos="284"/>
        </w:tabs>
        <w:autoSpaceDE w:val="0"/>
        <w:autoSpaceDN w:val="0"/>
        <w:adjustRightInd w:val="0"/>
        <w:spacing w:before="120" w:after="120" w:line="240" w:lineRule="auto"/>
        <w:ind w:left="284" w:hanging="284"/>
        <w:jc w:val="both"/>
        <w:rPr>
          <w:rFonts w:ascii="Times New Roman" w:hAnsi="Times New Roman" w:cs="Times New Roman"/>
          <w:bCs/>
        </w:rPr>
      </w:pPr>
      <w:r w:rsidRPr="009C0164">
        <w:rPr>
          <w:rFonts w:ascii="Times New Roman" w:hAnsi="Times New Roman" w:cs="Times New Roman"/>
          <w:bCs/>
        </w:rPr>
        <w:t>sistema de esgoto (rede geral) - fezes e urina são canalizadas para o sistema de esgoto (rede pública geral);</w:t>
      </w:r>
    </w:p>
    <w:p w:rsidR="00A02EF0" w:rsidRPr="009C0164" w:rsidRDefault="00A02EF0" w:rsidP="00E875D0">
      <w:pPr>
        <w:pStyle w:val="PargrafodaLista"/>
        <w:numPr>
          <w:ilvl w:val="0"/>
          <w:numId w:val="2"/>
        </w:numPr>
        <w:tabs>
          <w:tab w:val="left" w:pos="284"/>
        </w:tabs>
        <w:autoSpaceDE w:val="0"/>
        <w:autoSpaceDN w:val="0"/>
        <w:adjustRightInd w:val="0"/>
        <w:spacing w:before="120" w:after="120" w:line="240" w:lineRule="auto"/>
        <w:ind w:left="284" w:hanging="284"/>
        <w:jc w:val="both"/>
        <w:rPr>
          <w:rFonts w:ascii="Times New Roman" w:hAnsi="Times New Roman" w:cs="Times New Roman"/>
          <w:bCs/>
        </w:rPr>
      </w:pPr>
      <w:r w:rsidRPr="009C0164">
        <w:rPr>
          <w:rFonts w:ascii="Times New Roman" w:hAnsi="Times New Roman" w:cs="Times New Roman"/>
          <w:bCs/>
        </w:rPr>
        <w:t>fossa: qualquer tipo de fossa;</w:t>
      </w:r>
    </w:p>
    <w:p w:rsidR="00A02EF0" w:rsidRPr="009C0164" w:rsidRDefault="00A02EF0" w:rsidP="00E875D0">
      <w:pPr>
        <w:pStyle w:val="PargrafodaLista"/>
        <w:numPr>
          <w:ilvl w:val="0"/>
          <w:numId w:val="2"/>
        </w:numPr>
        <w:tabs>
          <w:tab w:val="left" w:pos="284"/>
        </w:tabs>
        <w:autoSpaceDE w:val="0"/>
        <w:autoSpaceDN w:val="0"/>
        <w:adjustRightInd w:val="0"/>
        <w:spacing w:before="120" w:after="120" w:line="240" w:lineRule="auto"/>
        <w:ind w:left="284" w:hanging="284"/>
        <w:jc w:val="both"/>
        <w:rPr>
          <w:rFonts w:ascii="Times New Roman" w:hAnsi="Times New Roman" w:cs="Times New Roman"/>
          <w:bCs/>
        </w:rPr>
      </w:pPr>
      <w:r w:rsidRPr="009C0164">
        <w:rPr>
          <w:rFonts w:ascii="Times New Roman" w:hAnsi="Times New Roman" w:cs="Times New Roman"/>
          <w:bCs/>
        </w:rPr>
        <w:t>céu aberto: no quintal, na rua, em um riacho, etc.</w:t>
      </w:r>
    </w:p>
    <w:p w:rsidR="00A02EF0" w:rsidRPr="00525E25" w:rsidRDefault="00267312" w:rsidP="00E875D0">
      <w:pPr>
        <w:pStyle w:val="PargrafodaLista"/>
        <w:numPr>
          <w:ilvl w:val="0"/>
          <w:numId w:val="1"/>
        </w:numPr>
        <w:tabs>
          <w:tab w:val="left" w:pos="284"/>
        </w:tabs>
        <w:autoSpaceDE w:val="0"/>
        <w:autoSpaceDN w:val="0"/>
        <w:adjustRightInd w:val="0"/>
        <w:spacing w:before="120" w:after="120" w:line="240" w:lineRule="auto"/>
        <w:ind w:left="284" w:hanging="284"/>
        <w:jc w:val="both"/>
        <w:rPr>
          <w:rFonts w:ascii="Times New Roman" w:hAnsi="Times New Roman" w:cs="Times New Roman"/>
          <w:b/>
          <w:bCs/>
        </w:rPr>
      </w:pPr>
      <w:r w:rsidRPr="00525E25">
        <w:rPr>
          <w:rFonts w:ascii="Times New Roman" w:hAnsi="Times New Roman" w:cs="Times New Roman"/>
          <w:b/>
          <w:bCs/>
        </w:rPr>
        <w:t xml:space="preserve">Destino do Lixo - </w:t>
      </w:r>
      <w:r w:rsidR="00A02EF0" w:rsidRPr="00525E25">
        <w:rPr>
          <w:rFonts w:ascii="Times New Roman" w:hAnsi="Times New Roman" w:cs="Times New Roman"/>
          <w:b/>
          <w:bCs/>
        </w:rPr>
        <w:t>número de domicílios de acordo com o destino dado ao lixo do domicílio:</w:t>
      </w:r>
    </w:p>
    <w:p w:rsidR="00A02EF0" w:rsidRPr="009C0164" w:rsidRDefault="00267312" w:rsidP="00E875D0">
      <w:pPr>
        <w:pStyle w:val="PargrafodaLista"/>
        <w:numPr>
          <w:ilvl w:val="0"/>
          <w:numId w:val="2"/>
        </w:numPr>
        <w:tabs>
          <w:tab w:val="left" w:pos="284"/>
        </w:tabs>
        <w:autoSpaceDE w:val="0"/>
        <w:autoSpaceDN w:val="0"/>
        <w:adjustRightInd w:val="0"/>
        <w:spacing w:before="120" w:after="120" w:line="240" w:lineRule="auto"/>
        <w:ind w:left="284" w:hanging="284"/>
        <w:jc w:val="both"/>
        <w:rPr>
          <w:rFonts w:ascii="Times New Roman" w:hAnsi="Times New Roman" w:cs="Times New Roman"/>
          <w:bCs/>
        </w:rPr>
      </w:pPr>
      <w:r w:rsidRPr="009C0164">
        <w:rPr>
          <w:rFonts w:ascii="Times New Roman" w:hAnsi="Times New Roman" w:cs="Times New Roman"/>
          <w:bCs/>
        </w:rPr>
        <w:t xml:space="preserve">coletado - </w:t>
      </w:r>
      <w:r w:rsidR="00A02EF0" w:rsidRPr="009C0164">
        <w:rPr>
          <w:rFonts w:ascii="Times New Roman" w:hAnsi="Times New Roman" w:cs="Times New Roman"/>
          <w:bCs/>
        </w:rPr>
        <w:t>coletado por serviço, empresa pública ou particular;</w:t>
      </w:r>
    </w:p>
    <w:p w:rsidR="00A02EF0" w:rsidRPr="009C0164" w:rsidRDefault="00A02EF0" w:rsidP="00E875D0">
      <w:pPr>
        <w:pStyle w:val="PargrafodaLista"/>
        <w:numPr>
          <w:ilvl w:val="0"/>
          <w:numId w:val="2"/>
        </w:numPr>
        <w:tabs>
          <w:tab w:val="left" w:pos="284"/>
        </w:tabs>
        <w:autoSpaceDE w:val="0"/>
        <w:autoSpaceDN w:val="0"/>
        <w:adjustRightInd w:val="0"/>
        <w:spacing w:before="120" w:after="120" w:line="240" w:lineRule="auto"/>
        <w:ind w:left="284" w:hanging="284"/>
        <w:jc w:val="both"/>
        <w:rPr>
          <w:rFonts w:ascii="Times New Roman" w:hAnsi="Times New Roman" w:cs="Times New Roman"/>
          <w:bCs/>
        </w:rPr>
      </w:pPr>
      <w:r w:rsidRPr="009C0164">
        <w:rPr>
          <w:rFonts w:ascii="Times New Roman" w:hAnsi="Times New Roman" w:cs="Times New Roman"/>
          <w:bCs/>
        </w:rPr>
        <w:t>queimado ou enterrado;</w:t>
      </w:r>
    </w:p>
    <w:p w:rsidR="00A02EF0" w:rsidRPr="009C0164" w:rsidRDefault="00A02EF0" w:rsidP="00E875D0">
      <w:pPr>
        <w:pStyle w:val="PargrafodaLista"/>
        <w:numPr>
          <w:ilvl w:val="0"/>
          <w:numId w:val="2"/>
        </w:numPr>
        <w:tabs>
          <w:tab w:val="left" w:pos="284"/>
        </w:tabs>
        <w:autoSpaceDE w:val="0"/>
        <w:autoSpaceDN w:val="0"/>
        <w:adjustRightInd w:val="0"/>
        <w:spacing w:before="120" w:after="120" w:line="240" w:lineRule="auto"/>
        <w:ind w:left="284" w:hanging="284"/>
        <w:jc w:val="both"/>
        <w:rPr>
          <w:rFonts w:ascii="Times New Roman" w:hAnsi="Times New Roman" w:cs="Times New Roman"/>
          <w:bCs/>
        </w:rPr>
      </w:pPr>
      <w:r w:rsidRPr="009C0164">
        <w:rPr>
          <w:rFonts w:ascii="Times New Roman" w:hAnsi="Times New Roman" w:cs="Times New Roman"/>
          <w:bCs/>
        </w:rPr>
        <w:t xml:space="preserve">céu aberto: jogado a céu aberto. </w:t>
      </w:r>
    </w:p>
    <w:p w:rsidR="00267312" w:rsidRPr="009C0164" w:rsidRDefault="00A02EF0"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Optou-se em utilizar as informações de saneamento oriundas do DATASUS</w:t>
      </w:r>
      <w:r w:rsidR="00267312" w:rsidRPr="009C0164">
        <w:rPr>
          <w:rFonts w:ascii="Times New Roman" w:hAnsi="Times New Roman" w:cs="Times New Roman"/>
          <w:bCs/>
        </w:rPr>
        <w:t>,</w:t>
      </w:r>
      <w:r w:rsidRPr="009C0164">
        <w:rPr>
          <w:rFonts w:ascii="Times New Roman" w:hAnsi="Times New Roman" w:cs="Times New Roman"/>
          <w:bCs/>
        </w:rPr>
        <w:t xml:space="preserve"> no ano de 2015</w:t>
      </w:r>
      <w:r w:rsidR="00267312" w:rsidRPr="009C0164">
        <w:rPr>
          <w:rFonts w:ascii="Times New Roman" w:hAnsi="Times New Roman" w:cs="Times New Roman"/>
          <w:bCs/>
        </w:rPr>
        <w:t>,</w:t>
      </w:r>
      <w:r w:rsidRPr="009C0164">
        <w:rPr>
          <w:rFonts w:ascii="Times New Roman" w:hAnsi="Times New Roman" w:cs="Times New Roman"/>
          <w:bCs/>
        </w:rPr>
        <w:t xml:space="preserve">ao invés dos dados do último ano censitário </w:t>
      </w:r>
      <w:r w:rsidRPr="009C0164">
        <w:rPr>
          <w:rFonts w:ascii="Times New Roman" w:hAnsi="Times New Roman" w:cs="Times New Roman"/>
          <w:bCs/>
        </w:rPr>
        <w:t>do IBGE</w:t>
      </w:r>
      <w:r w:rsidR="00267312" w:rsidRPr="009C0164">
        <w:rPr>
          <w:rFonts w:ascii="Times New Roman" w:hAnsi="Times New Roman" w:cs="Times New Roman"/>
          <w:bCs/>
        </w:rPr>
        <w:t>,</w:t>
      </w:r>
      <w:r w:rsidRPr="009C0164">
        <w:rPr>
          <w:rFonts w:ascii="Times New Roman" w:hAnsi="Times New Roman" w:cs="Times New Roman"/>
          <w:bCs/>
        </w:rPr>
        <w:t xml:space="preserve"> em 2010, pelo fato dos dados terem sido coletados em período mais recente.</w:t>
      </w:r>
    </w:p>
    <w:p w:rsidR="00FD612D" w:rsidRPr="009C0164" w:rsidRDefault="00200865"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rPr>
        <w:t>Os Indicadores de Saúde integram-se por variáv</w:t>
      </w:r>
      <w:r w:rsidR="008C5506" w:rsidRPr="009C0164">
        <w:rPr>
          <w:rFonts w:ascii="Times New Roman" w:hAnsi="Times New Roman" w:cs="Times New Roman"/>
        </w:rPr>
        <w:t xml:space="preserve">eis de morbidade e mortalidade, </w:t>
      </w:r>
      <w:r w:rsidR="00F74466">
        <w:rPr>
          <w:rFonts w:ascii="Times New Roman" w:hAnsi="Times New Roman" w:cs="Times New Roman"/>
        </w:rPr>
        <w:t xml:space="preserve">contemplando </w:t>
      </w:r>
      <w:r w:rsidR="008C5506" w:rsidRPr="009C0164">
        <w:rPr>
          <w:rFonts w:ascii="Times New Roman" w:hAnsi="Times New Roman" w:cs="Times New Roman"/>
          <w:bCs/>
        </w:rPr>
        <w:t>as doenças da Classificação Internacional de Doenças 10ª edição (CID-10), pertencentes aos códigos A00 a A09</w:t>
      </w:r>
      <w:bookmarkStart w:id="2" w:name="_Ref3627824"/>
      <w:r w:rsidR="003F1B73" w:rsidRPr="009C0164">
        <w:rPr>
          <w:rStyle w:val="Refdenotaderodap"/>
          <w:rFonts w:ascii="Times New Roman" w:hAnsi="Times New Roman" w:cs="Times New Roman"/>
          <w:bCs/>
        </w:rPr>
        <w:footnoteReference w:id="8"/>
      </w:r>
      <w:bookmarkEnd w:id="2"/>
      <w:r w:rsidR="00A76DDC">
        <w:rPr>
          <w:rFonts w:ascii="Times New Roman" w:hAnsi="Times New Roman" w:cs="Times New Roman"/>
          <w:bCs/>
        </w:rPr>
        <w:t>,</w:t>
      </w:r>
      <w:r w:rsidR="008C5506" w:rsidRPr="009C0164">
        <w:rPr>
          <w:rFonts w:ascii="Times New Roman" w:hAnsi="Times New Roman" w:cs="Times New Roman"/>
          <w:bCs/>
        </w:rPr>
        <w:t xml:space="preserve"> contemplando as doenças infecciosas intestinais ou DTHA</w:t>
      </w:r>
      <w:r w:rsidR="00FD612D" w:rsidRPr="009C0164">
        <w:rPr>
          <w:rFonts w:ascii="Times New Roman" w:hAnsi="Times New Roman" w:cs="Times New Roman"/>
          <w:bCs/>
        </w:rPr>
        <w:t>, com informações de cada município no ano de 2016.</w:t>
      </w:r>
    </w:p>
    <w:p w:rsidR="00FD612D" w:rsidRPr="009C0164" w:rsidRDefault="005F050E"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Constituem-se pelas seguintes doenças: A00 cólera, A01 febres tifóide</w:t>
      </w:r>
      <w:r>
        <w:rPr>
          <w:rFonts w:ascii="Times New Roman" w:hAnsi="Times New Roman" w:cs="Times New Roman"/>
          <w:bCs/>
        </w:rPr>
        <w:t xml:space="preserve"> e paratifói</w:t>
      </w:r>
      <w:r w:rsidRPr="009C0164">
        <w:rPr>
          <w:rFonts w:ascii="Times New Roman" w:hAnsi="Times New Roman" w:cs="Times New Roman"/>
          <w:bCs/>
        </w:rPr>
        <w:t xml:space="preserve">de, A02 outras infecciosas por </w:t>
      </w:r>
      <w:r w:rsidRPr="008F32C9">
        <w:rPr>
          <w:rFonts w:ascii="Times New Roman" w:hAnsi="Times New Roman" w:cs="Times New Roman"/>
          <w:bCs/>
          <w:i/>
        </w:rPr>
        <w:t>Salmonella</w:t>
      </w:r>
      <w:r w:rsidRPr="009C0164">
        <w:rPr>
          <w:rFonts w:ascii="Times New Roman" w:hAnsi="Times New Roman" w:cs="Times New Roman"/>
          <w:bCs/>
        </w:rPr>
        <w:t>, A03 shiguelose, A04 outras infecciosas por intestinais bacterianas, A05 outras infecciosas por alimentares bacterianas NCOP, A06 Amebíase, A07 outras doen</w:t>
      </w:r>
      <w:r>
        <w:rPr>
          <w:rFonts w:ascii="Times New Roman" w:hAnsi="Times New Roman" w:cs="Times New Roman"/>
          <w:bCs/>
        </w:rPr>
        <w:t>ças intestinais por protistas</w:t>
      </w:r>
      <w:r w:rsidRPr="009C0164">
        <w:rPr>
          <w:rFonts w:ascii="Times New Roman" w:hAnsi="Times New Roman" w:cs="Times New Roman"/>
          <w:bCs/>
        </w:rPr>
        <w:t>, A08 Infecções intestinais virais, A09 diarreia e gastroenterite origem infecciosa presumível</w:t>
      </w:r>
      <w:r w:rsidR="00866A0F">
        <w:fldChar w:fldCharType="begin"/>
      </w:r>
      <w:r w:rsidR="00866A0F">
        <w:instrText xml:space="preserve">NOTEREF _Ref3627824 \f \h  \* MERGEFORMAT </w:instrText>
      </w:r>
      <w:r w:rsidR="00866A0F">
        <w:fldChar w:fldCharType="separate"/>
      </w:r>
      <w:r w:rsidR="006946A7" w:rsidRPr="002562CE">
        <w:t>h</w:t>
      </w:r>
      <w:r w:rsidR="00866A0F">
        <w:fldChar w:fldCharType="end"/>
      </w:r>
      <w:r w:rsidRPr="009C0164">
        <w:rPr>
          <w:rFonts w:ascii="Times New Roman" w:hAnsi="Times New Roman" w:cs="Times New Roman"/>
          <w:bCs/>
        </w:rPr>
        <w:t>.</w:t>
      </w:r>
    </w:p>
    <w:p w:rsidR="006A0FBB" w:rsidRPr="009C0164" w:rsidRDefault="002562CE" w:rsidP="009C0164">
      <w:pPr>
        <w:autoSpaceDE w:val="0"/>
        <w:autoSpaceDN w:val="0"/>
        <w:adjustRightInd w:val="0"/>
        <w:spacing w:before="120" w:after="120" w:line="240" w:lineRule="auto"/>
        <w:ind w:firstLine="709"/>
        <w:jc w:val="both"/>
        <w:rPr>
          <w:rFonts w:ascii="Times New Roman" w:hAnsi="Times New Roman" w:cs="Times New Roman"/>
        </w:rPr>
      </w:pPr>
      <w:r>
        <w:rPr>
          <w:rFonts w:ascii="Times New Roman" w:hAnsi="Times New Roman" w:cs="Times New Roman"/>
        </w:rPr>
        <w:t xml:space="preserve">A </w:t>
      </w:r>
      <w:r w:rsidRPr="009C0164">
        <w:rPr>
          <w:rFonts w:ascii="Times New Roman" w:hAnsi="Times New Roman" w:cs="Times New Roman"/>
        </w:rPr>
        <w:t>Cólera consiste-se em uma infecção no intestino delgado causada pela bactéria</w:t>
      </w:r>
      <w:r>
        <w:rPr>
          <w:rFonts w:ascii="Times New Roman" w:hAnsi="Times New Roman" w:cs="Times New Roman"/>
        </w:rPr>
        <w:t xml:space="preserve"> </w:t>
      </w:r>
      <w:r w:rsidRPr="008F32C9">
        <w:rPr>
          <w:rFonts w:ascii="Times New Roman" w:hAnsi="Times New Roman" w:cs="Times New Roman"/>
          <w:i/>
        </w:rPr>
        <w:t>Vibriocholerae</w:t>
      </w:r>
      <w:r w:rsidRPr="009C0164">
        <w:rPr>
          <w:rFonts w:ascii="Times New Roman" w:hAnsi="Times New Roman" w:cs="Times New Roman"/>
        </w:rPr>
        <w:t>, com sinais e sintomas que tendem a variar de leves a graves, principalmente</w:t>
      </w:r>
      <w:r>
        <w:rPr>
          <w:rFonts w:ascii="Times New Roman" w:hAnsi="Times New Roman" w:cs="Times New Roman"/>
        </w:rPr>
        <w:t>,</w:t>
      </w:r>
      <w:r w:rsidRPr="009C0164">
        <w:rPr>
          <w:rFonts w:ascii="Times New Roman" w:hAnsi="Times New Roman" w:cs="Times New Roman"/>
        </w:rPr>
        <w:t xml:space="preserve"> através da apresentação de diarreia aquosa, vômitos e cãibras musculares.A mortalidade está relacionada às formas graves de diarreia, desidratação e distúrbio eletrolítico.</w:t>
      </w:r>
      <w:r w:rsidR="006A0FBB" w:rsidRPr="009C0164">
        <w:rPr>
          <w:rFonts w:ascii="Times New Roman" w:hAnsi="Times New Roman" w:cs="Times New Roman"/>
        </w:rPr>
        <w:t xml:space="preserve"> </w:t>
      </w:r>
      <w:r w:rsidR="00A40D96" w:rsidRPr="009C0164">
        <w:rPr>
          <w:rFonts w:ascii="Times New Roman" w:hAnsi="Times New Roman" w:cs="Times New Roman"/>
        </w:rPr>
        <w:t>A doença transmite-se</w:t>
      </w:r>
      <w:r w:rsidR="008F32C9">
        <w:rPr>
          <w:rFonts w:ascii="Times New Roman" w:hAnsi="Times New Roman" w:cs="Times New Roman"/>
        </w:rPr>
        <w:t>,</w:t>
      </w:r>
      <w:r w:rsidR="00A40D96" w:rsidRPr="009C0164">
        <w:rPr>
          <w:rFonts w:ascii="Times New Roman" w:hAnsi="Times New Roman" w:cs="Times New Roman"/>
        </w:rPr>
        <w:t xml:space="preserve"> principalmente</w:t>
      </w:r>
      <w:r w:rsidR="008F32C9">
        <w:rPr>
          <w:rFonts w:ascii="Times New Roman" w:hAnsi="Times New Roman" w:cs="Times New Roman"/>
        </w:rPr>
        <w:t>,</w:t>
      </w:r>
      <w:r w:rsidR="003132E6">
        <w:rPr>
          <w:rFonts w:ascii="Times New Roman" w:hAnsi="Times New Roman" w:cs="Times New Roman"/>
        </w:rPr>
        <w:t xml:space="preserve">fecal-oral, </w:t>
      </w:r>
      <w:r w:rsidR="00A40D96" w:rsidRPr="009C0164">
        <w:rPr>
          <w:rFonts w:ascii="Times New Roman" w:hAnsi="Times New Roman" w:cs="Times New Roman"/>
        </w:rPr>
        <w:t xml:space="preserve">através da água e de alimentos contaminados com fezes humanas </w:t>
      </w:r>
      <w:r w:rsidR="003132E6">
        <w:rPr>
          <w:rFonts w:ascii="Times New Roman" w:hAnsi="Times New Roman" w:cs="Times New Roman"/>
        </w:rPr>
        <w:t xml:space="preserve">com </w:t>
      </w:r>
      <w:r w:rsidR="00A40D96" w:rsidRPr="009C0164">
        <w:rPr>
          <w:rFonts w:ascii="Times New Roman" w:hAnsi="Times New Roman" w:cs="Times New Roman"/>
        </w:rPr>
        <w:t>bactérias.Os fatores de risco incluem saneamento insuficiente, escassez de água potável e a pobreza</w:t>
      </w:r>
      <w:r w:rsidR="00A23469" w:rsidRPr="009C0164">
        <w:rPr>
          <w:rFonts w:ascii="Times New Roman" w:hAnsi="Times New Roman" w:cs="Times New Roman"/>
        </w:rPr>
        <w:t>(Barcat, 2014).</w:t>
      </w:r>
    </w:p>
    <w:p w:rsidR="00A23469" w:rsidRPr="009C0164" w:rsidRDefault="004475D4" w:rsidP="009C0164">
      <w:pPr>
        <w:autoSpaceDE w:val="0"/>
        <w:autoSpaceDN w:val="0"/>
        <w:adjustRightInd w:val="0"/>
        <w:spacing w:before="120" w:after="120" w:line="240" w:lineRule="auto"/>
        <w:ind w:firstLine="709"/>
        <w:jc w:val="both"/>
        <w:rPr>
          <w:rFonts w:ascii="Times New Roman" w:hAnsi="Times New Roman" w:cs="Times New Roman"/>
        </w:rPr>
      </w:pPr>
      <w:r>
        <w:rPr>
          <w:rFonts w:ascii="Times New Roman" w:hAnsi="Times New Roman" w:cs="Times New Roman"/>
        </w:rPr>
        <w:t xml:space="preserve">A Febre </w:t>
      </w:r>
      <w:r w:rsidR="005F050E">
        <w:rPr>
          <w:rFonts w:ascii="Times New Roman" w:hAnsi="Times New Roman" w:cs="Times New Roman"/>
        </w:rPr>
        <w:t>T</w:t>
      </w:r>
      <w:r w:rsidR="005F050E" w:rsidRPr="009C0164">
        <w:rPr>
          <w:rFonts w:ascii="Times New Roman" w:hAnsi="Times New Roman" w:cs="Times New Roman"/>
        </w:rPr>
        <w:t>ifóide</w:t>
      </w:r>
      <w:r w:rsidR="00A23469" w:rsidRPr="009C0164">
        <w:rPr>
          <w:rFonts w:ascii="Times New Roman" w:hAnsi="Times New Roman" w:cs="Times New Roman"/>
        </w:rPr>
        <w:t xml:space="preserve"> caracteriza-se pela </w:t>
      </w:r>
      <w:r w:rsidR="005F050E" w:rsidRPr="009C0164">
        <w:rPr>
          <w:rFonts w:ascii="Times New Roman" w:hAnsi="Times New Roman" w:cs="Times New Roman"/>
        </w:rPr>
        <w:t>infecção</w:t>
      </w:r>
      <w:r w:rsidR="00A23469" w:rsidRPr="009C0164">
        <w:rPr>
          <w:rFonts w:ascii="Times New Roman" w:hAnsi="Times New Roman" w:cs="Times New Roman"/>
        </w:rPr>
        <w:t xml:space="preserve"> causada com a contaminação pela bactéria </w:t>
      </w:r>
      <w:r w:rsidR="00A23469" w:rsidRPr="003132E6">
        <w:rPr>
          <w:rFonts w:ascii="Times New Roman" w:hAnsi="Times New Roman" w:cs="Times New Roman"/>
          <w:i/>
        </w:rPr>
        <w:t>Salmonellatyphi</w:t>
      </w:r>
      <w:r w:rsidR="00A23469" w:rsidRPr="009C0164">
        <w:rPr>
          <w:rFonts w:ascii="Times New Roman" w:hAnsi="Times New Roman" w:cs="Times New Roman"/>
        </w:rPr>
        <w:t>. Os sint</w:t>
      </w:r>
      <w:r w:rsidR="003132E6">
        <w:rPr>
          <w:rFonts w:ascii="Times New Roman" w:hAnsi="Times New Roman" w:cs="Times New Roman"/>
        </w:rPr>
        <w:t xml:space="preserve">omas variam de leves a graves, </w:t>
      </w:r>
      <w:r w:rsidR="00A23469" w:rsidRPr="009C0164">
        <w:rPr>
          <w:rFonts w:ascii="Times New Roman" w:hAnsi="Times New Roman" w:cs="Times New Roman"/>
        </w:rPr>
        <w:t>com início entre 6 a 30 dias após expo</w:t>
      </w:r>
      <w:r w:rsidR="001D6620">
        <w:rPr>
          <w:rFonts w:ascii="Times New Roman" w:hAnsi="Times New Roman" w:cs="Times New Roman"/>
        </w:rPr>
        <w:t xml:space="preserve">sição, com predomínio de febre de </w:t>
      </w:r>
      <w:r w:rsidR="00A23469" w:rsidRPr="009C0164">
        <w:rPr>
          <w:rFonts w:ascii="Times New Roman" w:hAnsi="Times New Roman" w:cs="Times New Roman"/>
        </w:rPr>
        <w:t>aumento gradual, acompanhada de fraqueza, dor abdominal, obstipação e dor de cabeça. Pode-se ocorrer o desenvolvimento de erupções cutâneas, com pontos de tonalidade rosa e, nos casos graves, confusão mental.</w:t>
      </w:r>
      <w:r w:rsidR="00341E8D" w:rsidRPr="009C0164">
        <w:rPr>
          <w:rFonts w:ascii="Times New Roman" w:hAnsi="Times New Roman" w:cs="Times New Roman"/>
        </w:rPr>
        <w:t xml:space="preserve"> A transmissão ocorre por alimentos e água contaminados ou contato próximo, evidências científicas relatam a </w:t>
      </w:r>
      <w:r w:rsidR="00341E8D" w:rsidRPr="009C0164">
        <w:rPr>
          <w:rFonts w:ascii="Times New Roman" w:hAnsi="Times New Roman" w:cs="Times New Roman"/>
        </w:rPr>
        <w:lastRenderedPageBreak/>
        <w:t>investigação de su</w:t>
      </w:r>
      <w:r w:rsidR="003132E6">
        <w:rPr>
          <w:rFonts w:ascii="Times New Roman" w:hAnsi="Times New Roman" w:cs="Times New Roman"/>
        </w:rPr>
        <w:t xml:space="preserve">rto de febre tifóide em Santos, </w:t>
      </w:r>
      <w:r w:rsidR="00341E8D" w:rsidRPr="009C0164">
        <w:rPr>
          <w:rFonts w:ascii="Times New Roman" w:hAnsi="Times New Roman" w:cs="Times New Roman"/>
        </w:rPr>
        <w:t>SP, no ano de 2004 (</w:t>
      </w:r>
      <w:r w:rsidR="00620071">
        <w:rPr>
          <w:rFonts w:ascii="Times New Roman" w:hAnsi="Times New Roman" w:cs="Times New Roman"/>
        </w:rPr>
        <w:t>São Paulo</w:t>
      </w:r>
      <w:r w:rsidR="00341E8D" w:rsidRPr="009C0164">
        <w:rPr>
          <w:rFonts w:ascii="Times New Roman" w:hAnsi="Times New Roman" w:cs="Times New Roman"/>
        </w:rPr>
        <w:t>, 2004).</w:t>
      </w:r>
    </w:p>
    <w:p w:rsidR="00892FF2" w:rsidRPr="009C0164" w:rsidRDefault="00892FF2"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rPr>
        <w:t xml:space="preserve">A Shigelose representa </w:t>
      </w:r>
      <w:r w:rsidR="002562CE" w:rsidRPr="009C0164">
        <w:rPr>
          <w:rFonts w:ascii="Times New Roman" w:hAnsi="Times New Roman" w:cs="Times New Roman"/>
        </w:rPr>
        <w:t>uma</w:t>
      </w:r>
      <w:r w:rsidR="002562CE">
        <w:rPr>
          <w:rFonts w:ascii="Times New Roman" w:hAnsi="Times New Roman" w:cs="Times New Roman"/>
        </w:rPr>
        <w:t xml:space="preserve"> infecção</w:t>
      </w:r>
      <w:r w:rsidR="003132E6">
        <w:rPr>
          <w:rFonts w:ascii="Times New Roman" w:hAnsi="Times New Roman" w:cs="Times New Roman"/>
        </w:rPr>
        <w:t xml:space="preserve"> intestinal causada </w:t>
      </w:r>
      <w:r w:rsidR="005F050E">
        <w:rPr>
          <w:rFonts w:ascii="Times New Roman" w:hAnsi="Times New Roman" w:cs="Times New Roman"/>
        </w:rPr>
        <w:t>por um</w:t>
      </w:r>
      <w:r w:rsidR="003132E6">
        <w:rPr>
          <w:rFonts w:ascii="Times New Roman" w:hAnsi="Times New Roman" w:cs="Times New Roman"/>
        </w:rPr>
        <w:t xml:space="preserve"> grupo de </w:t>
      </w:r>
      <w:r w:rsidR="002562CE" w:rsidRPr="009C0164">
        <w:rPr>
          <w:rFonts w:ascii="Times New Roman" w:hAnsi="Times New Roman" w:cs="Times New Roman"/>
        </w:rPr>
        <w:t>bactéria</w:t>
      </w:r>
      <w:r w:rsidR="002562CE">
        <w:rPr>
          <w:rFonts w:ascii="Times New Roman" w:hAnsi="Times New Roman" w:cs="Times New Roman"/>
        </w:rPr>
        <w:t xml:space="preserve">s </w:t>
      </w:r>
      <w:r w:rsidR="002562CE" w:rsidRPr="003132E6">
        <w:rPr>
          <w:rFonts w:ascii="Times New Roman" w:hAnsi="Times New Roman" w:cs="Times New Roman"/>
          <w:i/>
        </w:rPr>
        <w:t>Shigella</w:t>
      </w:r>
      <w:r w:rsidR="000850B4" w:rsidRPr="009C0164">
        <w:rPr>
          <w:rFonts w:ascii="Times New Roman" w:hAnsi="Times New Roman" w:cs="Times New Roman"/>
        </w:rPr>
        <w:t xml:space="preserve"> spp.</w:t>
      </w:r>
      <w:r w:rsidR="00961540" w:rsidRPr="009C0164">
        <w:rPr>
          <w:rFonts w:ascii="Times New Roman" w:hAnsi="Times New Roman" w:cs="Times New Roman"/>
        </w:rPr>
        <w:t xml:space="preserve">, com sintomas presentes </w:t>
      </w:r>
      <w:r w:rsidRPr="009C0164">
        <w:rPr>
          <w:rFonts w:ascii="Times New Roman" w:hAnsi="Times New Roman" w:cs="Times New Roman"/>
        </w:rPr>
        <w:t>um a dois dias após exposição</w:t>
      </w:r>
      <w:r w:rsidR="00961540" w:rsidRPr="009C0164">
        <w:rPr>
          <w:rFonts w:ascii="Times New Roman" w:hAnsi="Times New Roman" w:cs="Times New Roman"/>
        </w:rPr>
        <w:t xml:space="preserve">, presença de diarreia, febre e dor abdominal. </w:t>
      </w:r>
      <w:r w:rsidRPr="009C0164">
        <w:rPr>
          <w:rFonts w:ascii="Times New Roman" w:hAnsi="Times New Roman" w:cs="Times New Roman"/>
        </w:rPr>
        <w:t>Os sintomas geralmente manifestam-se entre cinco e sete dias</w:t>
      </w:r>
      <w:r w:rsidR="00961540" w:rsidRPr="009C0164">
        <w:rPr>
          <w:rFonts w:ascii="Times New Roman" w:hAnsi="Times New Roman" w:cs="Times New Roman"/>
        </w:rPr>
        <w:t xml:space="preserve"> após o contato. Implica por vezes no desenvolvimento de </w:t>
      </w:r>
      <w:r w:rsidRPr="009C0164">
        <w:rPr>
          <w:rFonts w:ascii="Times New Roman" w:hAnsi="Times New Roman" w:cs="Times New Roman"/>
        </w:rPr>
        <w:t>complicações</w:t>
      </w:r>
      <w:r w:rsidR="00961540" w:rsidRPr="009C0164">
        <w:rPr>
          <w:rFonts w:ascii="Times New Roman" w:hAnsi="Times New Roman" w:cs="Times New Roman"/>
        </w:rPr>
        <w:t xml:space="preserve">, como por exemplo, </w:t>
      </w:r>
      <w:r w:rsidRPr="009C0164">
        <w:rPr>
          <w:rFonts w:ascii="Times New Roman" w:hAnsi="Times New Roman" w:cs="Times New Roman"/>
        </w:rPr>
        <w:t>artrite reativa, sepse, crises epilépticas e</w:t>
      </w:r>
      <w:r w:rsidR="00961540" w:rsidRPr="009C0164">
        <w:rPr>
          <w:rFonts w:ascii="Times New Roman" w:hAnsi="Times New Roman" w:cs="Times New Roman"/>
        </w:rPr>
        <w:t xml:space="preserve"> síndrome hemolítico-urémica (Angelini et al., 2009).</w:t>
      </w:r>
    </w:p>
    <w:p w:rsidR="00CF7C8C" w:rsidRPr="009C0164" w:rsidRDefault="008101F9"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rPr>
        <w:t xml:space="preserve">A Amebíase caracteriza-se por uma infecção parasitária do cólon causada pela ameba </w:t>
      </w:r>
      <w:r w:rsidR="002C1F9F" w:rsidRPr="003132E6">
        <w:rPr>
          <w:rFonts w:ascii="Times New Roman" w:hAnsi="Times New Roman" w:cs="Times New Roman"/>
          <w:i/>
        </w:rPr>
        <w:t>Entamoe</w:t>
      </w:r>
      <w:r w:rsidR="002C1F9F">
        <w:rPr>
          <w:rFonts w:ascii="Times New Roman" w:hAnsi="Times New Roman" w:cs="Times New Roman"/>
          <w:i/>
        </w:rPr>
        <w:t xml:space="preserve"> </w:t>
      </w:r>
      <w:r w:rsidR="002C1F9F" w:rsidRPr="003132E6">
        <w:rPr>
          <w:rFonts w:ascii="Times New Roman" w:hAnsi="Times New Roman" w:cs="Times New Roman"/>
          <w:i/>
        </w:rPr>
        <w:t>bahistolytica</w:t>
      </w:r>
      <w:r w:rsidRPr="009C0164">
        <w:rPr>
          <w:rFonts w:ascii="Times New Roman" w:hAnsi="Times New Roman" w:cs="Times New Roman"/>
        </w:rPr>
        <w:t>, que pode provocar cólicas, diarreia, fezes com sangue, febre e, raramente, abscesso hepático, na</w:t>
      </w:r>
      <w:r w:rsidR="00E34CF2" w:rsidRPr="009C0164">
        <w:rPr>
          <w:rFonts w:ascii="Times New Roman" w:hAnsi="Times New Roman" w:cs="Times New Roman"/>
        </w:rPr>
        <w:t xml:space="preserve">s evoluções clínicas negativas. </w:t>
      </w:r>
      <w:r w:rsidR="00CF7C8C" w:rsidRPr="009C0164">
        <w:rPr>
          <w:rFonts w:ascii="Times New Roman" w:hAnsi="Times New Roman" w:cs="Times New Roman"/>
        </w:rPr>
        <w:t xml:space="preserve">Os fatores de risco constituem-se </w:t>
      </w:r>
      <w:r w:rsidR="003132E6">
        <w:rPr>
          <w:rFonts w:ascii="Times New Roman" w:hAnsi="Times New Roman" w:cs="Times New Roman"/>
        </w:rPr>
        <w:t>n</w:t>
      </w:r>
      <w:r w:rsidR="00CF7C8C" w:rsidRPr="009C0164">
        <w:rPr>
          <w:rFonts w:ascii="Times New Roman" w:hAnsi="Times New Roman" w:cs="Times New Roman"/>
        </w:rPr>
        <w:t>a</w:t>
      </w:r>
      <w:r w:rsidR="00E34CF2" w:rsidRPr="009C0164">
        <w:rPr>
          <w:rFonts w:ascii="Times New Roman" w:hAnsi="Times New Roman" w:cs="Times New Roman"/>
        </w:rPr>
        <w:t xml:space="preserve"> utilização de água para consumo humano não potável,umidade relativa do ar elevada, </w:t>
      </w:r>
      <w:r w:rsidR="00186F5C">
        <w:rPr>
          <w:rFonts w:ascii="Times New Roman" w:hAnsi="Times New Roman" w:cs="Times New Roman"/>
        </w:rPr>
        <w:t xml:space="preserve">vulnerabilidade socioeconômica e </w:t>
      </w:r>
      <w:r w:rsidR="00E34CF2" w:rsidRPr="009C0164">
        <w:rPr>
          <w:rFonts w:ascii="Times New Roman" w:hAnsi="Times New Roman" w:cs="Times New Roman"/>
        </w:rPr>
        <w:t>ausência de saneamento básico (</w:t>
      </w:r>
      <w:r w:rsidR="00E34CF2" w:rsidRPr="00524907">
        <w:rPr>
          <w:rFonts w:ascii="Times New Roman" w:hAnsi="Times New Roman" w:cs="Times New Roman"/>
          <w:bCs/>
        </w:rPr>
        <w:t>Santos, 1994</w:t>
      </w:r>
      <w:r w:rsidR="00E34CF2" w:rsidRPr="009C0164">
        <w:rPr>
          <w:rFonts w:ascii="Times New Roman" w:hAnsi="Times New Roman" w:cs="Times New Roman"/>
        </w:rPr>
        <w:t>).</w:t>
      </w:r>
    </w:p>
    <w:p w:rsidR="00AF5152" w:rsidRPr="009C0164" w:rsidRDefault="000C6DF0"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rPr>
        <w:t>Contemplaram-se as doenças classificadas como “diarreia</w:t>
      </w:r>
      <w:r w:rsidR="00AF5152" w:rsidRPr="009C0164">
        <w:rPr>
          <w:rFonts w:ascii="Times New Roman" w:hAnsi="Times New Roman" w:cs="Times New Roman"/>
        </w:rPr>
        <w:t xml:space="preserve"> e gastroenterite de origem infecciosa presumível</w:t>
      </w:r>
      <w:r w:rsidRPr="009C0164">
        <w:rPr>
          <w:rFonts w:ascii="Times New Roman" w:hAnsi="Times New Roman" w:cs="Times New Roman"/>
        </w:rPr>
        <w:t>” e “o</w:t>
      </w:r>
      <w:r w:rsidR="00AF5152" w:rsidRPr="009C0164">
        <w:rPr>
          <w:rFonts w:ascii="Times New Roman" w:hAnsi="Times New Roman" w:cs="Times New Roman"/>
        </w:rPr>
        <w:t>utras doenças infecciosas intestinais</w:t>
      </w:r>
      <w:r w:rsidRPr="009C0164">
        <w:rPr>
          <w:rFonts w:ascii="Times New Roman" w:hAnsi="Times New Roman" w:cs="Times New Roman"/>
        </w:rPr>
        <w:t xml:space="preserve">” </w:t>
      </w:r>
      <w:r w:rsidR="00541320" w:rsidRPr="009C0164">
        <w:rPr>
          <w:rFonts w:ascii="Times New Roman" w:hAnsi="Times New Roman" w:cs="Times New Roman"/>
        </w:rPr>
        <w:t xml:space="preserve">em um estudo </w:t>
      </w:r>
      <w:r w:rsidR="003132E6">
        <w:rPr>
          <w:rFonts w:ascii="Times New Roman" w:hAnsi="Times New Roman" w:cs="Times New Roman"/>
        </w:rPr>
        <w:t>que utilizaram</w:t>
      </w:r>
      <w:r w:rsidR="00541320" w:rsidRPr="009C0164">
        <w:rPr>
          <w:rFonts w:ascii="Times New Roman" w:hAnsi="Times New Roman" w:cs="Times New Roman"/>
        </w:rPr>
        <w:t xml:space="preserve"> informações acerca da morbimortalidade por tais causas, relacionando-as com condições de saneamento e recursos hídricos (</w:t>
      </w:r>
      <w:r w:rsidR="00541320" w:rsidRPr="009C0164">
        <w:rPr>
          <w:rFonts w:ascii="Times New Roman" w:hAnsi="Times New Roman" w:cs="Times New Roman"/>
          <w:bCs/>
        </w:rPr>
        <w:t>Libânio et al., 2005).</w:t>
      </w:r>
    </w:p>
    <w:p w:rsidR="00637D76" w:rsidRPr="009C0164" w:rsidRDefault="003132E6" w:rsidP="009C0164">
      <w:pPr>
        <w:autoSpaceDE w:val="0"/>
        <w:autoSpaceDN w:val="0"/>
        <w:adjustRightInd w:val="0"/>
        <w:spacing w:before="120" w:after="120" w:line="240" w:lineRule="auto"/>
        <w:ind w:firstLine="709"/>
        <w:jc w:val="both"/>
        <w:rPr>
          <w:rFonts w:ascii="Times New Roman" w:hAnsi="Times New Roman" w:cs="Times New Roman"/>
          <w:bCs/>
        </w:rPr>
      </w:pPr>
      <w:r>
        <w:rPr>
          <w:rFonts w:ascii="Times New Roman" w:hAnsi="Times New Roman" w:cs="Times New Roman"/>
        </w:rPr>
        <w:t>A</w:t>
      </w:r>
      <w:r w:rsidR="0002428E" w:rsidRPr="009C0164">
        <w:rPr>
          <w:rFonts w:ascii="Times New Roman" w:hAnsi="Times New Roman" w:cs="Times New Roman"/>
        </w:rPr>
        <w:t>s informações de morbidade</w:t>
      </w:r>
      <w:r>
        <w:rPr>
          <w:rFonts w:ascii="Times New Roman" w:hAnsi="Times New Roman" w:cs="Times New Roman"/>
        </w:rPr>
        <w:t xml:space="preserve"> foram coletadas</w:t>
      </w:r>
      <w:r w:rsidR="0002428E" w:rsidRPr="009C0164">
        <w:rPr>
          <w:rFonts w:ascii="Times New Roman" w:hAnsi="Times New Roman" w:cs="Times New Roman"/>
        </w:rPr>
        <w:t xml:space="preserve"> no </w:t>
      </w:r>
      <w:r w:rsidR="00637D76" w:rsidRPr="009C0164">
        <w:rPr>
          <w:rFonts w:ascii="Times New Roman" w:hAnsi="Times New Roman" w:cs="Times New Roman"/>
        </w:rPr>
        <w:t>Sistema de In</w:t>
      </w:r>
      <w:r>
        <w:rPr>
          <w:rFonts w:ascii="Times New Roman" w:hAnsi="Times New Roman" w:cs="Times New Roman"/>
        </w:rPr>
        <w:t>formações Hospitalares do SUS (</w:t>
      </w:r>
      <w:r w:rsidR="00637D76" w:rsidRPr="009C0164">
        <w:rPr>
          <w:rFonts w:ascii="Times New Roman" w:hAnsi="Times New Roman" w:cs="Times New Roman"/>
        </w:rPr>
        <w:t>SIHSUS</w:t>
      </w:r>
      <w:r>
        <w:rPr>
          <w:rFonts w:ascii="Times New Roman" w:hAnsi="Times New Roman" w:cs="Times New Roman"/>
        </w:rPr>
        <w:t>)</w:t>
      </w:r>
      <w:r w:rsidR="0002428E" w:rsidRPr="009C0164">
        <w:rPr>
          <w:rFonts w:ascii="Times New Roman" w:hAnsi="Times New Roman" w:cs="Times New Roman"/>
          <w:bCs/>
        </w:rPr>
        <w:t xml:space="preserve">, </w:t>
      </w:r>
      <w:r w:rsidR="008D7868">
        <w:rPr>
          <w:rFonts w:ascii="Times New Roman" w:hAnsi="Times New Roman" w:cs="Times New Roman"/>
          <w:bCs/>
        </w:rPr>
        <w:t xml:space="preserve">a busca foi </w:t>
      </w:r>
      <w:r w:rsidR="0002428E" w:rsidRPr="009C0164">
        <w:rPr>
          <w:rFonts w:ascii="Times New Roman" w:hAnsi="Times New Roman" w:cs="Times New Roman"/>
          <w:bCs/>
        </w:rPr>
        <w:t xml:space="preserve">por local de residência do paciente. </w:t>
      </w:r>
      <w:r w:rsidR="00637D76" w:rsidRPr="009C0164">
        <w:rPr>
          <w:rFonts w:ascii="Times New Roman" w:hAnsi="Times New Roman" w:cs="Times New Roman"/>
        </w:rPr>
        <w:t>O SIHSUS é gerido pelo Ministério da Saúde, através da Secretaria de Assistência à Saúde, em conjunto com as Secretarias Estaduais</w:t>
      </w:r>
      <w:r w:rsidR="006F1205" w:rsidRPr="009C0164">
        <w:rPr>
          <w:rFonts w:ascii="Times New Roman" w:hAnsi="Times New Roman" w:cs="Times New Roman"/>
        </w:rPr>
        <w:t xml:space="preserve"> e Municipais </w:t>
      </w:r>
      <w:r w:rsidR="00637D76" w:rsidRPr="009C0164">
        <w:rPr>
          <w:rFonts w:ascii="Times New Roman" w:hAnsi="Times New Roman" w:cs="Times New Roman"/>
        </w:rPr>
        <w:t>de Saúde. As unidades hos</w:t>
      </w:r>
      <w:r w:rsidR="006F1205" w:rsidRPr="009C0164">
        <w:rPr>
          <w:rFonts w:ascii="Times New Roman" w:hAnsi="Times New Roman" w:cs="Times New Roman"/>
        </w:rPr>
        <w:t xml:space="preserve">pitalares participantes do SUS, sejam elas </w:t>
      </w:r>
      <w:r w:rsidR="00637D76" w:rsidRPr="009C0164">
        <w:rPr>
          <w:rFonts w:ascii="Times New Roman" w:hAnsi="Times New Roman" w:cs="Times New Roman"/>
        </w:rPr>
        <w:t>públic</w:t>
      </w:r>
      <w:r w:rsidR="006F1205" w:rsidRPr="009C0164">
        <w:rPr>
          <w:rFonts w:ascii="Times New Roman" w:hAnsi="Times New Roman" w:cs="Times New Roman"/>
        </w:rPr>
        <w:t xml:space="preserve">as ou particulares conveniadas, </w:t>
      </w:r>
      <w:r w:rsidR="00637D76" w:rsidRPr="009C0164">
        <w:rPr>
          <w:rFonts w:ascii="Times New Roman" w:hAnsi="Times New Roman" w:cs="Times New Roman"/>
        </w:rPr>
        <w:t>enviam as informações das internações efetuadas através da Autorização de Internação Hospitalar (AIH)</w:t>
      </w:r>
      <w:r w:rsidR="006F1205" w:rsidRPr="009C0164">
        <w:rPr>
          <w:rFonts w:ascii="Times New Roman" w:hAnsi="Times New Roman" w:cs="Times New Roman"/>
        </w:rPr>
        <w:t xml:space="preserve">, que </w:t>
      </w:r>
      <w:r w:rsidR="00637D76" w:rsidRPr="009C0164">
        <w:rPr>
          <w:rFonts w:ascii="Times New Roman" w:hAnsi="Times New Roman" w:cs="Times New Roman"/>
        </w:rPr>
        <w:t>são consolidadas no DATASUS.</w:t>
      </w:r>
      <w:r w:rsidR="00637D76" w:rsidRPr="009C0164">
        <w:rPr>
          <w:rFonts w:ascii="Times New Roman" w:hAnsi="Times New Roman" w:cs="Times New Roman"/>
          <w:bCs/>
        </w:rPr>
        <w:t xml:space="preserve"> Geram-se os dados referentes ao número de internações hospitalares de cada município, consolidam-se os dados mensalmente</w:t>
      </w:r>
      <w:r w:rsidR="006F1205" w:rsidRPr="009C0164">
        <w:rPr>
          <w:rStyle w:val="Refdenotaderodap"/>
          <w:rFonts w:ascii="Times New Roman" w:hAnsi="Times New Roman" w:cs="Times New Roman"/>
          <w:bCs/>
        </w:rPr>
        <w:footnoteReference w:id="9"/>
      </w:r>
      <w:r w:rsidR="00637D76" w:rsidRPr="009C0164">
        <w:rPr>
          <w:rFonts w:ascii="Times New Roman" w:hAnsi="Times New Roman" w:cs="Times New Roman"/>
          <w:bCs/>
        </w:rPr>
        <w:t>.</w:t>
      </w:r>
    </w:p>
    <w:p w:rsidR="0002428E" w:rsidRPr="009C0164" w:rsidRDefault="0002428E"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bCs/>
        </w:rPr>
        <w:t xml:space="preserve">As informações sobre mortalidade originam-se </w:t>
      </w:r>
      <w:r w:rsidRPr="009C0164">
        <w:rPr>
          <w:rFonts w:ascii="Times New Roman" w:hAnsi="Times New Roman" w:cs="Times New Roman"/>
        </w:rPr>
        <w:t>do Sistema de Informações sobre M</w:t>
      </w:r>
      <w:r w:rsidR="00570A1F">
        <w:rPr>
          <w:rFonts w:ascii="Times New Roman" w:hAnsi="Times New Roman" w:cs="Times New Roman"/>
        </w:rPr>
        <w:t>ortalidade (SIM), os dados provê</w:t>
      </w:r>
      <w:r w:rsidRPr="009C0164">
        <w:rPr>
          <w:rFonts w:ascii="Times New Roman" w:hAnsi="Times New Roman" w:cs="Times New Roman"/>
        </w:rPr>
        <w:t>m das Declarações de Óbitos dos cartórios ao SIM. Uma das informações primordiais caracteriza-se pela causa básica de óbito, a qual é codificada a partir do declarado pelo médico atestante, segundo regras estabelecidas pela Organização Mundial de Saúde</w:t>
      </w:r>
      <w:r w:rsidRPr="009C0164">
        <w:rPr>
          <w:rStyle w:val="Refdenotaderodap"/>
          <w:rFonts w:ascii="Times New Roman" w:hAnsi="Times New Roman" w:cs="Times New Roman"/>
        </w:rPr>
        <w:footnoteReference w:id="10"/>
      </w:r>
      <w:r w:rsidRPr="009C0164">
        <w:rPr>
          <w:rFonts w:ascii="Times New Roman" w:hAnsi="Times New Roman" w:cs="Times New Roman"/>
        </w:rPr>
        <w:t>.</w:t>
      </w:r>
    </w:p>
    <w:p w:rsidR="00932B2C" w:rsidRPr="00147384" w:rsidRDefault="00932B2C" w:rsidP="00147384">
      <w:pPr>
        <w:autoSpaceDE w:val="0"/>
        <w:autoSpaceDN w:val="0"/>
        <w:adjustRightInd w:val="0"/>
        <w:spacing w:before="120" w:after="120" w:line="240" w:lineRule="auto"/>
        <w:jc w:val="both"/>
        <w:rPr>
          <w:rFonts w:ascii="Times New Roman" w:hAnsi="Times New Roman" w:cs="Times New Roman"/>
          <w:bCs/>
          <w:i/>
        </w:rPr>
      </w:pPr>
      <w:r w:rsidRPr="00147384">
        <w:rPr>
          <w:rFonts w:ascii="Times New Roman" w:hAnsi="Times New Roman" w:cs="Times New Roman"/>
          <w:bCs/>
          <w:i/>
        </w:rPr>
        <w:t>Análise dos dados</w:t>
      </w:r>
    </w:p>
    <w:p w:rsidR="00184582" w:rsidRPr="009C0164" w:rsidRDefault="00EE1CA0" w:rsidP="009C0164">
      <w:pPr>
        <w:autoSpaceDE w:val="0"/>
        <w:autoSpaceDN w:val="0"/>
        <w:adjustRightInd w:val="0"/>
        <w:spacing w:before="120" w:after="120" w:line="240" w:lineRule="auto"/>
        <w:ind w:firstLine="709"/>
        <w:jc w:val="both"/>
        <w:rPr>
          <w:rFonts w:ascii="Times New Roman" w:hAnsi="Times New Roman" w:cs="Times New Roman"/>
          <w:bCs/>
        </w:rPr>
      </w:pPr>
      <w:r>
        <w:rPr>
          <w:rFonts w:ascii="Times New Roman" w:hAnsi="Times New Roman" w:cs="Times New Roman"/>
          <w:bCs/>
        </w:rPr>
        <w:t>Os</w:t>
      </w:r>
      <w:r w:rsidR="000645E6" w:rsidRPr="009C0164">
        <w:rPr>
          <w:rFonts w:ascii="Times New Roman" w:hAnsi="Times New Roman" w:cs="Times New Roman"/>
          <w:bCs/>
        </w:rPr>
        <w:t xml:space="preserve"> coeficientes municipais </w:t>
      </w:r>
      <w:r w:rsidR="00184582" w:rsidRPr="009C0164">
        <w:rPr>
          <w:rFonts w:ascii="Times New Roman" w:hAnsi="Times New Roman" w:cs="Times New Roman"/>
          <w:bCs/>
        </w:rPr>
        <w:t>de mortalidade e de internação pelas DTHA</w:t>
      </w:r>
      <w:r>
        <w:rPr>
          <w:rFonts w:ascii="Times New Roman" w:hAnsi="Times New Roman" w:cs="Times New Roman"/>
          <w:bCs/>
        </w:rPr>
        <w:t>, foram calculados</w:t>
      </w:r>
      <w:r w:rsidR="000645E6" w:rsidRPr="009C0164">
        <w:rPr>
          <w:rFonts w:ascii="Times New Roman" w:hAnsi="Times New Roman" w:cs="Times New Roman"/>
          <w:bCs/>
        </w:rPr>
        <w:t xml:space="preserve"> tendo como </w:t>
      </w:r>
      <w:r w:rsidR="00184582" w:rsidRPr="009C0164">
        <w:rPr>
          <w:rFonts w:ascii="Times New Roman" w:hAnsi="Times New Roman" w:cs="Times New Roman"/>
          <w:bCs/>
        </w:rPr>
        <w:t xml:space="preserve">numerador </w:t>
      </w:r>
      <w:r w:rsidR="000645E6" w:rsidRPr="009C0164">
        <w:rPr>
          <w:rFonts w:ascii="Times New Roman" w:hAnsi="Times New Roman" w:cs="Times New Roman"/>
          <w:bCs/>
        </w:rPr>
        <w:t>o número total de eventos (óbitos ou internações) por município e ano</w:t>
      </w:r>
      <w:r w:rsidR="00184582" w:rsidRPr="009C0164">
        <w:rPr>
          <w:rFonts w:ascii="Times New Roman" w:hAnsi="Times New Roman" w:cs="Times New Roman"/>
          <w:bCs/>
        </w:rPr>
        <w:t>, e o denominador composto pe</w:t>
      </w:r>
      <w:r w:rsidR="000645E6" w:rsidRPr="009C0164">
        <w:rPr>
          <w:rFonts w:ascii="Times New Roman" w:hAnsi="Times New Roman" w:cs="Times New Roman"/>
          <w:bCs/>
        </w:rPr>
        <w:t>lo número de habitantes de cada cidade, utilizando-se os dados estimados pelo IBGE</w:t>
      </w:r>
      <w:r w:rsidR="00184582" w:rsidRPr="009C0164">
        <w:rPr>
          <w:rFonts w:ascii="Times New Roman" w:hAnsi="Times New Roman" w:cs="Times New Roman"/>
          <w:bCs/>
        </w:rPr>
        <w:t>, o valor resultante foi multiplicado por 1</w:t>
      </w:r>
      <w:r w:rsidR="000645E6" w:rsidRPr="009C0164">
        <w:rPr>
          <w:rFonts w:ascii="Times New Roman" w:hAnsi="Times New Roman" w:cs="Times New Roman"/>
          <w:bCs/>
        </w:rPr>
        <w:t>.000 habitantes.</w:t>
      </w:r>
    </w:p>
    <w:p w:rsidR="00CA6750" w:rsidRPr="009C0164" w:rsidRDefault="002C1F9F"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Aplicou-se a técnica</w:t>
      </w:r>
      <w:r>
        <w:rPr>
          <w:rFonts w:ascii="Times New Roman" w:hAnsi="Times New Roman" w:cs="Times New Roman"/>
          <w:bCs/>
        </w:rPr>
        <w:t xml:space="preserve"> de análise espacial figurada pelo </w:t>
      </w:r>
      <w:r w:rsidRPr="009C0164">
        <w:rPr>
          <w:rFonts w:ascii="Times New Roman" w:hAnsi="Times New Roman" w:cs="Times New Roman"/>
          <w:bCs/>
        </w:rPr>
        <w:t xml:space="preserve">Índice de Moran Global, </w:t>
      </w:r>
      <w:r>
        <w:rPr>
          <w:rFonts w:ascii="Times New Roman" w:hAnsi="Times New Roman" w:cs="Times New Roman"/>
          <w:bCs/>
        </w:rPr>
        <w:t xml:space="preserve">e gerou </w:t>
      </w:r>
      <w:r w:rsidRPr="009C0164">
        <w:rPr>
          <w:rFonts w:ascii="Times New Roman" w:hAnsi="Times New Roman" w:cs="Times New Roman"/>
          <w:bCs/>
        </w:rPr>
        <w:t xml:space="preserve">a Matriz de Proximidade Espacial de primeira ordem </w:t>
      </w:r>
      <w:r w:rsidRPr="009C0164">
        <w:rPr>
          <w:rFonts w:ascii="Times New Roman" w:hAnsi="Times New Roman" w:cs="Times New Roman"/>
          <w:bCs/>
          <w:i/>
        </w:rPr>
        <w:t>W</w:t>
      </w:r>
      <w:r w:rsidRPr="009C0164">
        <w:rPr>
          <w:rFonts w:ascii="Times New Roman" w:hAnsi="Times New Roman" w:cs="Times New Roman"/>
          <w:bCs/>
        </w:rPr>
        <w:t xml:space="preserve"> (</w:t>
      </w:r>
      <w:r w:rsidRPr="009C0164">
        <w:rPr>
          <w:rFonts w:ascii="Times New Roman" w:hAnsi="Times New Roman" w:cs="Times New Roman"/>
          <w:bCs/>
          <w:i/>
        </w:rPr>
        <w:t>n</w:t>
      </w:r>
      <w:r w:rsidRPr="009C0164">
        <w:rPr>
          <w:rFonts w:ascii="Times New Roman" w:hAnsi="Times New Roman" w:cs="Times New Roman"/>
          <w:bCs/>
        </w:rPr>
        <w:t xml:space="preserve"> x </w:t>
      </w:r>
      <w:r w:rsidRPr="009C0164">
        <w:rPr>
          <w:rFonts w:ascii="Times New Roman" w:hAnsi="Times New Roman" w:cs="Times New Roman"/>
          <w:bCs/>
          <w:i/>
        </w:rPr>
        <w:t>n</w:t>
      </w:r>
      <w:r w:rsidRPr="009C0164">
        <w:rPr>
          <w:rFonts w:ascii="Times New Roman" w:hAnsi="Times New Roman" w:cs="Times New Roman"/>
          <w:bCs/>
        </w:rPr>
        <w:t>), integrando o conjunto dos números de áreas {</w:t>
      </w:r>
      <w:r w:rsidRPr="009C0164">
        <w:rPr>
          <w:rFonts w:ascii="Times New Roman" w:hAnsi="Times New Roman" w:cs="Times New Roman"/>
          <w:bCs/>
          <w:i/>
        </w:rPr>
        <w:t>A1</w:t>
      </w:r>
      <w:r w:rsidRPr="009C0164">
        <w:rPr>
          <w:rFonts w:ascii="Times New Roman" w:hAnsi="Times New Roman" w:cs="Times New Roman"/>
          <w:bCs/>
        </w:rPr>
        <w:t>,..,</w:t>
      </w:r>
      <w:r w:rsidRPr="009C0164">
        <w:rPr>
          <w:rFonts w:ascii="Times New Roman" w:hAnsi="Times New Roman" w:cs="Times New Roman"/>
          <w:bCs/>
          <w:i/>
        </w:rPr>
        <w:t>An</w:t>
      </w:r>
      <w:r w:rsidRPr="009C0164">
        <w:rPr>
          <w:rFonts w:ascii="Times New Roman" w:hAnsi="Times New Roman" w:cs="Times New Roman"/>
          <w:bCs/>
        </w:rPr>
        <w:t xml:space="preserve">}, do qual cada elemento singular </w:t>
      </w:r>
      <w:r w:rsidRPr="009C0164">
        <w:rPr>
          <w:rFonts w:ascii="Times New Roman" w:hAnsi="Times New Roman" w:cs="Times New Roman"/>
          <w:bCs/>
          <w:i/>
        </w:rPr>
        <w:t>wij</w:t>
      </w:r>
      <w:r>
        <w:rPr>
          <w:rFonts w:ascii="Times New Roman" w:hAnsi="Times New Roman" w:cs="Times New Roman"/>
          <w:bCs/>
          <w:i/>
        </w:rPr>
        <w:t xml:space="preserve"> </w:t>
      </w:r>
      <w:r w:rsidRPr="009C0164">
        <w:rPr>
          <w:rFonts w:ascii="Times New Roman" w:hAnsi="Times New Roman" w:cs="Times New Roman"/>
          <w:bCs/>
        </w:rPr>
        <w:t xml:space="preserve">simboliza uma medida de proximidade entre </w:t>
      </w:r>
      <w:r w:rsidRPr="009C0164">
        <w:rPr>
          <w:rFonts w:ascii="Times New Roman" w:hAnsi="Times New Roman" w:cs="Times New Roman"/>
          <w:bCs/>
          <w:i/>
        </w:rPr>
        <w:t>Ai</w:t>
      </w:r>
      <w:r w:rsidRPr="009C0164">
        <w:rPr>
          <w:rFonts w:ascii="Times New Roman" w:hAnsi="Times New Roman" w:cs="Times New Roman"/>
          <w:bCs/>
        </w:rPr>
        <w:t xml:space="preserve"> e </w:t>
      </w:r>
      <w:r w:rsidRPr="009C0164">
        <w:rPr>
          <w:rFonts w:ascii="Times New Roman" w:hAnsi="Times New Roman" w:cs="Times New Roman"/>
          <w:bCs/>
          <w:i/>
        </w:rPr>
        <w:t>Aj</w:t>
      </w:r>
      <w:r w:rsidRPr="009C0164">
        <w:rPr>
          <w:rFonts w:ascii="Times New Roman" w:hAnsi="Times New Roman" w:cs="Times New Roman"/>
          <w:bCs/>
        </w:rPr>
        <w:t>.</w:t>
      </w:r>
      <w:r w:rsidR="00184582" w:rsidRPr="009C0164">
        <w:rPr>
          <w:rFonts w:ascii="Times New Roman" w:hAnsi="Times New Roman" w:cs="Times New Roman"/>
          <w:bCs/>
        </w:rPr>
        <w:t xml:space="preserve"> </w:t>
      </w:r>
      <w:r w:rsidR="00CA6750" w:rsidRPr="009C0164">
        <w:rPr>
          <w:rFonts w:ascii="Times New Roman" w:hAnsi="Times New Roman" w:cs="Times New Roman"/>
          <w:bCs/>
        </w:rPr>
        <w:t xml:space="preserve">Empregou-se </w:t>
      </w:r>
      <w:r w:rsidR="00184582" w:rsidRPr="009C0164">
        <w:rPr>
          <w:rFonts w:ascii="Times New Roman" w:hAnsi="Times New Roman" w:cs="Times New Roman"/>
          <w:bCs/>
        </w:rPr>
        <w:t>a contiguidade sem peso como estratégia de construção da matriz (Cunha e Silva et al., 2014; Brasil, 2007</w:t>
      </w:r>
      <w:r w:rsidR="00CA6750" w:rsidRPr="009C0164">
        <w:rPr>
          <w:rFonts w:ascii="Times New Roman" w:hAnsi="Times New Roman" w:cs="Times New Roman"/>
          <w:bCs/>
        </w:rPr>
        <w:t>).</w:t>
      </w:r>
    </w:p>
    <w:p w:rsidR="00B37430" w:rsidRPr="009C0164" w:rsidRDefault="00184582"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O índice de Moran Global </w:t>
      </w:r>
      <w:r w:rsidR="00721C9A" w:rsidRPr="009C0164">
        <w:rPr>
          <w:rFonts w:ascii="Times New Roman" w:hAnsi="Times New Roman" w:cs="Times New Roman"/>
          <w:bCs/>
        </w:rPr>
        <w:t xml:space="preserve">caracteriza-se </w:t>
      </w:r>
      <w:r w:rsidRPr="009C0164">
        <w:rPr>
          <w:rFonts w:ascii="Times New Roman" w:hAnsi="Times New Roman" w:cs="Times New Roman"/>
          <w:bCs/>
        </w:rPr>
        <w:t>uma medida de autocorrelação espacial</w:t>
      </w:r>
      <w:r w:rsidR="00721C9A" w:rsidRPr="009C0164">
        <w:rPr>
          <w:rFonts w:ascii="Times New Roman" w:hAnsi="Times New Roman" w:cs="Times New Roman"/>
          <w:bCs/>
        </w:rPr>
        <w:t xml:space="preserve">, representando a independência espacial através da </w:t>
      </w:r>
      <w:r w:rsidRPr="009C0164">
        <w:rPr>
          <w:rFonts w:ascii="Times New Roman" w:hAnsi="Times New Roman" w:cs="Times New Roman"/>
          <w:bCs/>
        </w:rPr>
        <w:t>hipótese nula</w:t>
      </w:r>
      <w:r w:rsidR="00721C9A" w:rsidRPr="009C0164">
        <w:rPr>
          <w:rFonts w:ascii="Times New Roman" w:hAnsi="Times New Roman" w:cs="Times New Roman"/>
          <w:bCs/>
        </w:rPr>
        <w:t>. O</w:t>
      </w:r>
      <w:r w:rsidRPr="009C0164">
        <w:rPr>
          <w:rFonts w:ascii="Times New Roman" w:hAnsi="Times New Roman" w:cs="Times New Roman"/>
          <w:bCs/>
        </w:rPr>
        <w:t xml:space="preserve"> resultado entre 0 e 1 indica correlação direta, ou seja, o valor do indicador de uma determinada área tende a ser semelhante aos valores dos seus vizinhos, enquanto, valores entre 0 e -1 indicam correlação inversa (Cunha e Sil</w:t>
      </w:r>
      <w:r w:rsidR="00B37430" w:rsidRPr="009C0164">
        <w:rPr>
          <w:rFonts w:ascii="Times New Roman" w:hAnsi="Times New Roman" w:cs="Times New Roman"/>
          <w:bCs/>
        </w:rPr>
        <w:t>va et al., 2014; Brasil, 2007).</w:t>
      </w:r>
    </w:p>
    <w:p w:rsidR="005B27B6" w:rsidRPr="009C0164" w:rsidRDefault="005B27B6"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Estabeleceu-se a</w:t>
      </w:r>
      <w:r w:rsidR="00184582" w:rsidRPr="009C0164">
        <w:rPr>
          <w:rFonts w:ascii="Times New Roman" w:hAnsi="Times New Roman" w:cs="Times New Roman"/>
          <w:bCs/>
        </w:rPr>
        <w:t xml:space="preserve"> validade estatística do Índice de Moran a partir de teste de pseudosignificância, </w:t>
      </w:r>
      <w:r w:rsidRPr="009C0164">
        <w:rPr>
          <w:rFonts w:ascii="Times New Roman" w:hAnsi="Times New Roman" w:cs="Times New Roman"/>
          <w:bCs/>
        </w:rPr>
        <w:t>da qual g</w:t>
      </w:r>
      <w:r w:rsidR="00184582" w:rsidRPr="009C0164">
        <w:rPr>
          <w:rFonts w:ascii="Times New Roman" w:hAnsi="Times New Roman" w:cs="Times New Roman"/>
          <w:bCs/>
        </w:rPr>
        <w:t>era</w:t>
      </w:r>
      <w:r w:rsidRPr="009C0164">
        <w:rPr>
          <w:rFonts w:ascii="Times New Roman" w:hAnsi="Times New Roman" w:cs="Times New Roman"/>
          <w:bCs/>
        </w:rPr>
        <w:t xml:space="preserve">m-se </w:t>
      </w:r>
      <w:r w:rsidR="00184582" w:rsidRPr="009C0164">
        <w:rPr>
          <w:rFonts w:ascii="Times New Roman" w:hAnsi="Times New Roman" w:cs="Times New Roman"/>
          <w:bCs/>
        </w:rPr>
        <w:t>diferentes permutaçõ</w:t>
      </w:r>
      <w:r w:rsidRPr="009C0164">
        <w:rPr>
          <w:rFonts w:ascii="Times New Roman" w:hAnsi="Times New Roman" w:cs="Times New Roman"/>
          <w:bCs/>
        </w:rPr>
        <w:t xml:space="preserve">es dos valores dos indicadores e </w:t>
      </w:r>
      <w:r w:rsidR="00184582" w:rsidRPr="009C0164">
        <w:rPr>
          <w:rFonts w:ascii="Times New Roman" w:hAnsi="Times New Roman" w:cs="Times New Roman"/>
          <w:bCs/>
        </w:rPr>
        <w:t xml:space="preserve">cada permutação </w:t>
      </w:r>
      <w:r w:rsidRPr="009C0164">
        <w:rPr>
          <w:rFonts w:ascii="Times New Roman" w:hAnsi="Times New Roman" w:cs="Times New Roman"/>
          <w:bCs/>
        </w:rPr>
        <w:t>origina</w:t>
      </w:r>
      <w:r w:rsidR="00184582" w:rsidRPr="009C0164">
        <w:rPr>
          <w:rFonts w:ascii="Times New Roman" w:hAnsi="Times New Roman" w:cs="Times New Roman"/>
          <w:bCs/>
        </w:rPr>
        <w:t xml:space="preserve"> um novo arranjo espacial (Cunha e Silva et al., 2014; Brasil, 2007). </w:t>
      </w:r>
      <w:r w:rsidRPr="009C0164">
        <w:rPr>
          <w:rFonts w:ascii="Times New Roman" w:hAnsi="Times New Roman" w:cs="Times New Roman"/>
          <w:bCs/>
        </w:rPr>
        <w:t xml:space="preserve">Adotou-se </w:t>
      </w:r>
      <w:r w:rsidR="00184582" w:rsidRPr="009C0164">
        <w:rPr>
          <w:rFonts w:ascii="Times New Roman" w:hAnsi="Times New Roman" w:cs="Times New Roman"/>
          <w:bCs/>
        </w:rPr>
        <w:t>a signifi</w:t>
      </w:r>
      <w:r w:rsidRPr="009C0164">
        <w:rPr>
          <w:rFonts w:ascii="Times New Roman" w:hAnsi="Times New Roman" w:cs="Times New Roman"/>
          <w:bCs/>
        </w:rPr>
        <w:t>cância por meio de 99 permutações.</w:t>
      </w:r>
    </w:p>
    <w:p w:rsidR="00085C6D" w:rsidRPr="009C0164" w:rsidRDefault="008D7868" w:rsidP="009C0164">
      <w:pPr>
        <w:autoSpaceDE w:val="0"/>
        <w:autoSpaceDN w:val="0"/>
        <w:adjustRightInd w:val="0"/>
        <w:spacing w:before="120" w:after="120" w:line="240" w:lineRule="auto"/>
        <w:ind w:firstLine="709"/>
        <w:jc w:val="both"/>
        <w:rPr>
          <w:rFonts w:ascii="Times New Roman" w:hAnsi="Times New Roman" w:cs="Times New Roman"/>
          <w:bCs/>
        </w:rPr>
      </w:pPr>
      <w:r>
        <w:rPr>
          <w:rFonts w:ascii="Times New Roman" w:hAnsi="Times New Roman" w:cs="Times New Roman"/>
          <w:bCs/>
        </w:rPr>
        <w:lastRenderedPageBreak/>
        <w:t>O</w:t>
      </w:r>
      <w:r w:rsidR="00B70B45" w:rsidRPr="009C0164">
        <w:rPr>
          <w:rFonts w:ascii="Times New Roman" w:hAnsi="Times New Roman" w:cs="Times New Roman"/>
          <w:bCs/>
        </w:rPr>
        <w:t xml:space="preserve">s coeficientes de internação hospitalar e de mortalidade, </w:t>
      </w:r>
      <w:r>
        <w:rPr>
          <w:rFonts w:ascii="Times New Roman" w:hAnsi="Times New Roman" w:cs="Times New Roman"/>
          <w:bCs/>
        </w:rPr>
        <w:t xml:space="preserve">foram utilizados </w:t>
      </w:r>
      <w:r w:rsidR="00B70B45" w:rsidRPr="009C0164">
        <w:rPr>
          <w:rFonts w:ascii="Times New Roman" w:hAnsi="Times New Roman" w:cs="Times New Roman"/>
          <w:bCs/>
        </w:rPr>
        <w:t>de cada município, e seus respectivos percentuais de cada variável de saneamento</w:t>
      </w:r>
      <w:r w:rsidR="00764501">
        <w:rPr>
          <w:rFonts w:ascii="Times New Roman" w:hAnsi="Times New Roman" w:cs="Times New Roman"/>
          <w:bCs/>
        </w:rPr>
        <w:t>,</w:t>
      </w:r>
      <w:r w:rsidR="00B70B45" w:rsidRPr="009C0164">
        <w:rPr>
          <w:rFonts w:ascii="Times New Roman" w:hAnsi="Times New Roman" w:cs="Times New Roman"/>
          <w:bCs/>
        </w:rPr>
        <w:t xml:space="preserve"> para análises estatísticas tabula</w:t>
      </w:r>
      <w:r>
        <w:rPr>
          <w:rFonts w:ascii="Times New Roman" w:hAnsi="Times New Roman" w:cs="Times New Roman"/>
          <w:bCs/>
        </w:rPr>
        <w:t>res e espaciais. Os</w:t>
      </w:r>
      <w:r w:rsidR="00B70B45" w:rsidRPr="009C0164">
        <w:rPr>
          <w:rFonts w:ascii="Times New Roman" w:hAnsi="Times New Roman" w:cs="Times New Roman"/>
          <w:bCs/>
        </w:rPr>
        <w:t xml:space="preserve"> mapas</w:t>
      </w:r>
      <w:r>
        <w:rPr>
          <w:rFonts w:ascii="Times New Roman" w:hAnsi="Times New Roman" w:cs="Times New Roman"/>
          <w:bCs/>
        </w:rPr>
        <w:t>,</w:t>
      </w:r>
      <w:r w:rsidR="00B70B45" w:rsidRPr="009C0164">
        <w:rPr>
          <w:rFonts w:ascii="Times New Roman" w:hAnsi="Times New Roman" w:cs="Times New Roman"/>
          <w:bCs/>
        </w:rPr>
        <w:t xml:space="preserve"> de distribuição e</w:t>
      </w:r>
      <w:r>
        <w:rPr>
          <w:rFonts w:ascii="Times New Roman" w:hAnsi="Times New Roman" w:cs="Times New Roman"/>
          <w:bCs/>
        </w:rPr>
        <w:t>spacial das taxas e percentuais,</w:t>
      </w:r>
      <w:r w:rsidR="00DB3491">
        <w:rPr>
          <w:rFonts w:ascii="Times New Roman" w:hAnsi="Times New Roman" w:cs="Times New Roman"/>
          <w:bCs/>
        </w:rPr>
        <w:t xml:space="preserve"> </w:t>
      </w:r>
      <w:r>
        <w:rPr>
          <w:rFonts w:ascii="Times New Roman" w:hAnsi="Times New Roman" w:cs="Times New Roman"/>
          <w:bCs/>
        </w:rPr>
        <w:t xml:space="preserve">foram organizados </w:t>
      </w:r>
      <w:r w:rsidR="00B70B45" w:rsidRPr="009C0164">
        <w:rPr>
          <w:rFonts w:ascii="Times New Roman" w:hAnsi="Times New Roman" w:cs="Times New Roman"/>
          <w:bCs/>
        </w:rPr>
        <w:t>a fim de identificar os municípi</w:t>
      </w:r>
      <w:r w:rsidR="00085C6D" w:rsidRPr="009C0164">
        <w:rPr>
          <w:rFonts w:ascii="Times New Roman" w:hAnsi="Times New Roman" w:cs="Times New Roman"/>
          <w:bCs/>
        </w:rPr>
        <w:t>os com valores mais acentuados.</w:t>
      </w:r>
      <w:r w:rsidR="00D5784A" w:rsidRPr="009C0164">
        <w:rPr>
          <w:rFonts w:ascii="Times New Roman" w:hAnsi="Times New Roman" w:cs="Times New Roman"/>
          <w:bCs/>
        </w:rPr>
        <w:t xml:space="preserve"> Analisou-se o Índice de Moran em todos os casos. </w:t>
      </w:r>
    </w:p>
    <w:p w:rsidR="00335761" w:rsidRPr="009C0164" w:rsidRDefault="00B70B45"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Calculou-se o grau de risco para as DTHA, empregando-se a média percentual </w:t>
      </w:r>
      <w:r w:rsidR="00085C6D" w:rsidRPr="009C0164">
        <w:rPr>
          <w:rFonts w:ascii="Times New Roman" w:hAnsi="Times New Roman" w:cs="Times New Roman"/>
          <w:bCs/>
        </w:rPr>
        <w:t xml:space="preserve">das variáveis </w:t>
      </w:r>
      <w:r w:rsidR="00787CC2" w:rsidRPr="009C0164">
        <w:rPr>
          <w:rFonts w:ascii="Times New Roman" w:hAnsi="Times New Roman" w:cs="Times New Roman"/>
          <w:bCs/>
        </w:rPr>
        <w:t>de lógica inversa, as quais quanto menor o valor</w:t>
      </w:r>
      <w:r w:rsidR="008D7868">
        <w:rPr>
          <w:rFonts w:ascii="Times New Roman" w:hAnsi="Times New Roman" w:cs="Times New Roman"/>
          <w:bCs/>
        </w:rPr>
        <w:t>,</w:t>
      </w:r>
      <w:r w:rsidR="00787CC2" w:rsidRPr="009C0164">
        <w:rPr>
          <w:rFonts w:ascii="Times New Roman" w:hAnsi="Times New Roman" w:cs="Times New Roman"/>
          <w:bCs/>
        </w:rPr>
        <w:t xml:space="preserve"> mais protegida considera-se a população</w:t>
      </w:r>
      <w:r w:rsidR="00335761" w:rsidRPr="009C0164">
        <w:rPr>
          <w:rFonts w:ascii="Times New Roman" w:hAnsi="Times New Roman" w:cs="Times New Roman"/>
          <w:bCs/>
        </w:rPr>
        <w:t>, a saber: coeficiente de internação hospitalar por DTHA, coef</w:t>
      </w:r>
      <w:r w:rsidR="008D7868">
        <w:rPr>
          <w:rFonts w:ascii="Times New Roman" w:hAnsi="Times New Roman" w:cs="Times New Roman"/>
          <w:bCs/>
        </w:rPr>
        <w:t>iciente de mo</w:t>
      </w:r>
      <w:r w:rsidR="00F773EF">
        <w:rPr>
          <w:rFonts w:ascii="Times New Roman" w:hAnsi="Times New Roman" w:cs="Times New Roman"/>
          <w:bCs/>
        </w:rPr>
        <w:t>rtalidade por DTHA</w:t>
      </w:r>
      <w:r w:rsidR="004E69C0">
        <w:rPr>
          <w:rFonts w:ascii="Times New Roman" w:hAnsi="Times New Roman" w:cs="Times New Roman"/>
          <w:bCs/>
        </w:rPr>
        <w:t xml:space="preserve">, análise do </w:t>
      </w:r>
      <w:r w:rsidR="00335761" w:rsidRPr="009C0164">
        <w:rPr>
          <w:rFonts w:ascii="Times New Roman" w:hAnsi="Times New Roman" w:cs="Times New Roman"/>
          <w:bCs/>
        </w:rPr>
        <w:t>%</w:t>
      </w:r>
      <w:r w:rsidR="006968F2">
        <w:rPr>
          <w:rFonts w:ascii="Times New Roman" w:hAnsi="Times New Roman" w:cs="Times New Roman"/>
          <w:bCs/>
        </w:rPr>
        <w:t xml:space="preserve"> de</w:t>
      </w:r>
      <w:r w:rsidR="00335761" w:rsidRPr="009C0164">
        <w:rPr>
          <w:rFonts w:ascii="Times New Roman" w:hAnsi="Times New Roman" w:cs="Times New Roman"/>
          <w:bCs/>
        </w:rPr>
        <w:t xml:space="preserve"> abastecimento de água de poços ou nascentes, %</w:t>
      </w:r>
      <w:r w:rsidR="006968F2">
        <w:rPr>
          <w:rFonts w:ascii="Times New Roman" w:hAnsi="Times New Roman" w:cs="Times New Roman"/>
          <w:bCs/>
        </w:rPr>
        <w:t xml:space="preserve"> de </w:t>
      </w:r>
      <w:r w:rsidR="00335761" w:rsidRPr="009C0164">
        <w:rPr>
          <w:rFonts w:ascii="Times New Roman" w:hAnsi="Times New Roman" w:cs="Times New Roman"/>
          <w:bCs/>
        </w:rPr>
        <w:t xml:space="preserve">abastecimento de água por formas não convencionais, % de destinação de lixo queimado ou enterrado, % </w:t>
      </w:r>
      <w:r w:rsidR="006968F2">
        <w:rPr>
          <w:rFonts w:ascii="Times New Roman" w:hAnsi="Times New Roman" w:cs="Times New Roman"/>
          <w:bCs/>
        </w:rPr>
        <w:t xml:space="preserve">de </w:t>
      </w:r>
      <w:r w:rsidR="00335761" w:rsidRPr="009C0164">
        <w:rPr>
          <w:rFonts w:ascii="Times New Roman" w:hAnsi="Times New Roman" w:cs="Times New Roman"/>
          <w:bCs/>
        </w:rPr>
        <w:t>destinação de lixo a céu aberto, % de destinação de fezes e urina em esgoto, % de destinação de fezes e urina a céu aberto e % de água para consumo humano sem tratamento.</w:t>
      </w:r>
    </w:p>
    <w:p w:rsidR="00085C6D" w:rsidRPr="009C0164" w:rsidRDefault="006A3518" w:rsidP="009C0164">
      <w:pPr>
        <w:autoSpaceDE w:val="0"/>
        <w:autoSpaceDN w:val="0"/>
        <w:adjustRightInd w:val="0"/>
        <w:spacing w:before="120" w:after="120" w:line="240" w:lineRule="auto"/>
        <w:ind w:firstLine="709"/>
        <w:jc w:val="both"/>
        <w:rPr>
          <w:rFonts w:ascii="Times New Roman" w:hAnsi="Times New Roman" w:cs="Times New Roman"/>
          <w:bCs/>
        </w:rPr>
      </w:pPr>
      <w:r>
        <w:rPr>
          <w:rFonts w:ascii="Times New Roman" w:hAnsi="Times New Roman" w:cs="Times New Roman"/>
          <w:bCs/>
        </w:rPr>
        <w:t>E</w:t>
      </w:r>
      <w:r w:rsidR="00085C6D" w:rsidRPr="009C0164">
        <w:rPr>
          <w:rFonts w:ascii="Times New Roman" w:hAnsi="Times New Roman" w:cs="Times New Roman"/>
          <w:bCs/>
        </w:rPr>
        <w:t>stabeleceu-se o valor de escala de 0 a 100, por meio da fórmula de Interpolação Linear Simples. Categorizaram-se os resultados em: risco mínimo (0 a 20), risco razoável (21 a 40), risco intermediário (41 a 60), risco elevado (61 a 80) e risco máximo (81 a 100). Apresentaram-se os valores em um mapa de suscetibilidade para as DTHA, com análise do Índice de Moran.</w:t>
      </w:r>
    </w:p>
    <w:p w:rsidR="00184582" w:rsidRPr="009C0164" w:rsidRDefault="005B27B6"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Aplicou-se a </w:t>
      </w:r>
      <w:r w:rsidR="00184582" w:rsidRPr="009C0164">
        <w:rPr>
          <w:rFonts w:ascii="Times New Roman" w:hAnsi="Times New Roman" w:cs="Times New Roman"/>
          <w:bCs/>
        </w:rPr>
        <w:t xml:space="preserve">correlação de Pearson </w:t>
      </w:r>
      <w:r w:rsidR="00F773EF">
        <w:rPr>
          <w:rFonts w:ascii="Times New Roman" w:hAnsi="Times New Roman" w:cs="Times New Roman"/>
          <w:bCs/>
        </w:rPr>
        <w:t xml:space="preserve">para </w:t>
      </w:r>
      <w:r w:rsidRPr="009C0164">
        <w:rPr>
          <w:rFonts w:ascii="Times New Roman" w:hAnsi="Times New Roman" w:cs="Times New Roman"/>
          <w:bCs/>
        </w:rPr>
        <w:t xml:space="preserve">analisar </w:t>
      </w:r>
      <w:r w:rsidR="00184582" w:rsidRPr="009C0164">
        <w:rPr>
          <w:rFonts w:ascii="Times New Roman" w:hAnsi="Times New Roman" w:cs="Times New Roman"/>
          <w:bCs/>
        </w:rPr>
        <w:t xml:space="preserve">a </w:t>
      </w:r>
      <w:r w:rsidR="00E57835" w:rsidRPr="009C0164">
        <w:rPr>
          <w:rFonts w:ascii="Times New Roman" w:hAnsi="Times New Roman" w:cs="Times New Roman"/>
          <w:bCs/>
        </w:rPr>
        <w:t xml:space="preserve">relação </w:t>
      </w:r>
      <w:r w:rsidR="00184582" w:rsidRPr="009C0164">
        <w:rPr>
          <w:rFonts w:ascii="Times New Roman" w:hAnsi="Times New Roman" w:cs="Times New Roman"/>
          <w:bCs/>
        </w:rPr>
        <w:t>entre a</w:t>
      </w:r>
      <w:r w:rsidRPr="009C0164">
        <w:rPr>
          <w:rFonts w:ascii="Times New Roman" w:hAnsi="Times New Roman" w:cs="Times New Roman"/>
          <w:bCs/>
        </w:rPr>
        <w:t xml:space="preserve">s variáveis de saúde e as variáveis de saneamento, nos municípios do Rio Grande do Sul. Tabularam-se os </w:t>
      </w:r>
      <w:r w:rsidR="002C1F9F" w:rsidRPr="009C0164">
        <w:rPr>
          <w:rFonts w:ascii="Times New Roman" w:hAnsi="Times New Roman" w:cs="Times New Roman"/>
          <w:bCs/>
        </w:rPr>
        <w:t>dados</w:t>
      </w:r>
      <w:r w:rsidR="002C1F9F">
        <w:rPr>
          <w:rFonts w:ascii="Times New Roman" w:hAnsi="Times New Roman" w:cs="Times New Roman"/>
          <w:bCs/>
        </w:rPr>
        <w:t xml:space="preserve"> </w:t>
      </w:r>
      <w:r w:rsidR="002C1F9F" w:rsidRPr="009C0164">
        <w:rPr>
          <w:rFonts w:ascii="Times New Roman" w:hAnsi="Times New Roman" w:cs="Times New Roman"/>
          <w:bCs/>
        </w:rPr>
        <w:t>no</w:t>
      </w:r>
      <w:r w:rsidR="00184582" w:rsidRPr="009C0164">
        <w:rPr>
          <w:rFonts w:ascii="Times New Roman" w:hAnsi="Times New Roman" w:cs="Times New Roman"/>
          <w:bCs/>
        </w:rPr>
        <w:t xml:space="preserve"> </w:t>
      </w:r>
      <w:r w:rsidR="002C1F9F" w:rsidRPr="009C0164">
        <w:rPr>
          <w:rFonts w:ascii="Times New Roman" w:hAnsi="Times New Roman" w:cs="Times New Roman"/>
          <w:bCs/>
          <w:i/>
        </w:rPr>
        <w:t>software</w:t>
      </w:r>
      <w:r w:rsidR="002C1F9F">
        <w:rPr>
          <w:rFonts w:ascii="Times New Roman" w:hAnsi="Times New Roman" w:cs="Times New Roman"/>
          <w:bCs/>
          <w:i/>
        </w:rPr>
        <w:t xml:space="preserve"> </w:t>
      </w:r>
      <w:r w:rsidR="002C1F9F" w:rsidRPr="009C0164">
        <w:rPr>
          <w:rFonts w:ascii="Times New Roman" w:hAnsi="Times New Roman" w:cs="Times New Roman"/>
          <w:bCs/>
        </w:rPr>
        <w:t>TabWin</w:t>
      </w:r>
      <w:r w:rsidR="00184582" w:rsidRPr="009C0164">
        <w:rPr>
          <w:rFonts w:ascii="Times New Roman" w:hAnsi="Times New Roman" w:cs="Times New Roman"/>
          <w:bCs/>
        </w:rPr>
        <w:t xml:space="preserve"> 32, as análises </w:t>
      </w:r>
      <w:r w:rsidRPr="009C0164">
        <w:rPr>
          <w:rFonts w:ascii="Times New Roman" w:hAnsi="Times New Roman" w:cs="Times New Roman"/>
          <w:bCs/>
        </w:rPr>
        <w:t xml:space="preserve">estatísticas ocorreram no </w:t>
      </w:r>
      <w:r w:rsidRPr="009C0164">
        <w:rPr>
          <w:rFonts w:ascii="Times New Roman" w:hAnsi="Times New Roman" w:cs="Times New Roman"/>
          <w:bCs/>
          <w:i/>
        </w:rPr>
        <w:t>SPSS</w:t>
      </w:r>
      <w:r w:rsidR="00E57835" w:rsidRPr="009C0164">
        <w:rPr>
          <w:rFonts w:ascii="Times New Roman" w:hAnsi="Times New Roman" w:cs="Times New Roman"/>
          <w:bCs/>
        </w:rPr>
        <w:t xml:space="preserve"> versão 20, as análises </w:t>
      </w:r>
      <w:r w:rsidR="00184582" w:rsidRPr="009C0164">
        <w:rPr>
          <w:rFonts w:ascii="Times New Roman" w:hAnsi="Times New Roman" w:cs="Times New Roman"/>
          <w:bCs/>
        </w:rPr>
        <w:t xml:space="preserve">espaciais no </w:t>
      </w:r>
      <w:r w:rsidR="002C1F9F" w:rsidRPr="009C0164">
        <w:rPr>
          <w:rFonts w:ascii="Times New Roman" w:hAnsi="Times New Roman" w:cs="Times New Roman"/>
          <w:bCs/>
          <w:i/>
        </w:rPr>
        <w:t>software</w:t>
      </w:r>
      <w:r w:rsidR="002C1F9F">
        <w:rPr>
          <w:rFonts w:ascii="Times New Roman" w:hAnsi="Times New Roman" w:cs="Times New Roman"/>
          <w:bCs/>
          <w:i/>
        </w:rPr>
        <w:t xml:space="preserve"> </w:t>
      </w:r>
      <w:r w:rsidR="002C1F9F" w:rsidRPr="009C0164">
        <w:rPr>
          <w:rFonts w:ascii="Times New Roman" w:hAnsi="Times New Roman" w:cs="Times New Roman"/>
          <w:bCs/>
        </w:rPr>
        <w:t>TerraView</w:t>
      </w:r>
      <w:r w:rsidR="00184582" w:rsidRPr="009C0164">
        <w:rPr>
          <w:rFonts w:ascii="Times New Roman" w:hAnsi="Times New Roman" w:cs="Times New Roman"/>
          <w:bCs/>
        </w:rPr>
        <w:t xml:space="preserve"> versão 4.2.2</w:t>
      </w:r>
      <w:r w:rsidR="00E57835" w:rsidRPr="009C0164">
        <w:rPr>
          <w:rFonts w:ascii="Times New Roman" w:hAnsi="Times New Roman" w:cs="Times New Roman"/>
          <w:bCs/>
        </w:rPr>
        <w:t xml:space="preserve"> e a construção dos mapas no ArcGis 10.3</w:t>
      </w:r>
      <w:r w:rsidR="00184582" w:rsidRPr="009C0164">
        <w:rPr>
          <w:rFonts w:ascii="Times New Roman" w:hAnsi="Times New Roman" w:cs="Times New Roman"/>
          <w:bCs/>
        </w:rPr>
        <w:t xml:space="preserve">. </w:t>
      </w:r>
      <w:r w:rsidR="00A522F8" w:rsidRPr="009C0164">
        <w:rPr>
          <w:rFonts w:ascii="Times New Roman" w:hAnsi="Times New Roman" w:cs="Times New Roman"/>
          <w:bCs/>
        </w:rPr>
        <w:t>Manipularam-se informações secundárias, agrupadas e de domínio público, que impossibilita a identificação dos sujeitos, com ausência de implicações éticas.</w:t>
      </w:r>
    </w:p>
    <w:p w:rsidR="00037194" w:rsidRPr="009C0164" w:rsidRDefault="00037194" w:rsidP="009C0164">
      <w:pPr>
        <w:autoSpaceDE w:val="0"/>
        <w:autoSpaceDN w:val="0"/>
        <w:adjustRightInd w:val="0"/>
        <w:spacing w:before="120" w:after="120" w:line="240" w:lineRule="auto"/>
        <w:ind w:firstLine="709"/>
        <w:jc w:val="both"/>
        <w:rPr>
          <w:rFonts w:ascii="Times New Roman" w:hAnsi="Times New Roman" w:cs="Times New Roman"/>
          <w:bCs/>
        </w:rPr>
      </w:pPr>
    </w:p>
    <w:p w:rsidR="00184582" w:rsidRPr="00793D74" w:rsidRDefault="00037194" w:rsidP="00147384">
      <w:pPr>
        <w:autoSpaceDE w:val="0"/>
        <w:autoSpaceDN w:val="0"/>
        <w:adjustRightInd w:val="0"/>
        <w:spacing w:before="120" w:after="120" w:line="240" w:lineRule="auto"/>
        <w:jc w:val="both"/>
        <w:rPr>
          <w:rFonts w:ascii="Times New Roman" w:hAnsi="Times New Roman" w:cs="Times New Roman"/>
          <w:b/>
          <w:bCs/>
        </w:rPr>
      </w:pPr>
      <w:r w:rsidRPr="00793D74">
        <w:rPr>
          <w:rFonts w:ascii="Times New Roman" w:hAnsi="Times New Roman" w:cs="Times New Roman"/>
          <w:b/>
          <w:bCs/>
        </w:rPr>
        <w:t>Resultados</w:t>
      </w:r>
      <w:r w:rsidR="00321AD9" w:rsidRPr="00793D74">
        <w:rPr>
          <w:rFonts w:ascii="Times New Roman" w:hAnsi="Times New Roman" w:cs="Times New Roman"/>
          <w:b/>
          <w:bCs/>
        </w:rPr>
        <w:t xml:space="preserve"> e discussão</w:t>
      </w:r>
    </w:p>
    <w:p w:rsidR="00346135" w:rsidRPr="009C0164" w:rsidRDefault="00452B98" w:rsidP="009C0164">
      <w:pPr>
        <w:autoSpaceDE w:val="0"/>
        <w:autoSpaceDN w:val="0"/>
        <w:adjustRightInd w:val="0"/>
        <w:spacing w:before="120" w:after="120" w:line="240" w:lineRule="auto"/>
        <w:ind w:firstLine="709"/>
        <w:jc w:val="both"/>
        <w:rPr>
          <w:rFonts w:ascii="Times New Roman" w:hAnsi="Times New Roman" w:cs="Times New Roman"/>
          <w:bCs/>
        </w:rPr>
      </w:pPr>
      <w:r w:rsidRPr="00452B98">
        <w:rPr>
          <w:rFonts w:ascii="Times New Roman" w:hAnsi="Times New Roman" w:cs="Times New Roman"/>
          <w:bCs/>
        </w:rPr>
        <w:t>O</w:t>
      </w:r>
      <w:r w:rsidR="00866425" w:rsidRPr="00452B98">
        <w:rPr>
          <w:rFonts w:ascii="Times New Roman" w:hAnsi="Times New Roman" w:cs="Times New Roman"/>
          <w:bCs/>
        </w:rPr>
        <w:t>s municípios</w:t>
      </w:r>
      <w:r w:rsidR="00866425" w:rsidRPr="009C0164">
        <w:rPr>
          <w:rFonts w:ascii="Times New Roman" w:hAnsi="Times New Roman" w:cs="Times New Roman"/>
          <w:bCs/>
        </w:rPr>
        <w:t xml:space="preserve"> com maior número de </w:t>
      </w:r>
      <w:r w:rsidR="00842F00" w:rsidRPr="009C0164">
        <w:rPr>
          <w:rFonts w:ascii="Times New Roman" w:hAnsi="Times New Roman" w:cs="Times New Roman"/>
          <w:bCs/>
        </w:rPr>
        <w:t xml:space="preserve">casos de internação por DTHA </w:t>
      </w:r>
      <w:r w:rsidR="00D11A67">
        <w:rPr>
          <w:rFonts w:ascii="Times New Roman" w:hAnsi="Times New Roman" w:cs="Times New Roman"/>
          <w:bCs/>
        </w:rPr>
        <w:t xml:space="preserve">foram </w:t>
      </w:r>
      <w:r w:rsidR="00866425" w:rsidRPr="009C0164">
        <w:rPr>
          <w:rFonts w:ascii="Times New Roman" w:hAnsi="Times New Roman" w:cs="Times New Roman"/>
          <w:bCs/>
        </w:rPr>
        <w:t>Porto Alegre (1085), Canoas (187), Santa Rosa (171), Frederico Westphalen (139), Alvorada (138), Arroio do Tigre (137), Rosário do Sul (130), Agudo (117), Bagé (106) e Erechim (106)</w:t>
      </w:r>
      <w:r w:rsidR="00530DFB" w:rsidRPr="009C0164">
        <w:rPr>
          <w:rFonts w:ascii="Times New Roman" w:hAnsi="Times New Roman" w:cs="Times New Roman"/>
          <w:bCs/>
        </w:rPr>
        <w:t xml:space="preserve"> (Figura 1).</w:t>
      </w:r>
    </w:p>
    <w:p w:rsidR="00346135" w:rsidRPr="009C0164" w:rsidRDefault="009C1CDA"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Expressam-se o</w:t>
      </w:r>
      <w:r w:rsidR="00866425" w:rsidRPr="009C0164">
        <w:rPr>
          <w:rFonts w:ascii="Times New Roman" w:hAnsi="Times New Roman" w:cs="Times New Roman"/>
          <w:bCs/>
        </w:rPr>
        <w:t>s coeficientes mais</w:t>
      </w:r>
      <w:r w:rsidRPr="009C0164">
        <w:rPr>
          <w:rFonts w:ascii="Times New Roman" w:hAnsi="Times New Roman" w:cs="Times New Roman"/>
          <w:bCs/>
        </w:rPr>
        <w:t xml:space="preserve"> elevados </w:t>
      </w:r>
      <w:r w:rsidR="00812966" w:rsidRPr="009C0164">
        <w:rPr>
          <w:rFonts w:ascii="Times New Roman" w:hAnsi="Times New Roman" w:cs="Times New Roman"/>
          <w:bCs/>
        </w:rPr>
        <w:t>de internação</w:t>
      </w:r>
      <w:r w:rsidRPr="009C0164">
        <w:rPr>
          <w:rFonts w:ascii="Times New Roman" w:hAnsi="Times New Roman" w:cs="Times New Roman"/>
          <w:bCs/>
        </w:rPr>
        <w:t xml:space="preserve"> n</w:t>
      </w:r>
      <w:r w:rsidR="00812966" w:rsidRPr="009C0164">
        <w:rPr>
          <w:rFonts w:ascii="Times New Roman" w:hAnsi="Times New Roman" w:cs="Times New Roman"/>
          <w:bCs/>
        </w:rPr>
        <w:t>as cidades de</w:t>
      </w:r>
      <w:r w:rsidR="00866425" w:rsidRPr="009C0164">
        <w:rPr>
          <w:rFonts w:ascii="Times New Roman" w:hAnsi="Times New Roman" w:cs="Times New Roman"/>
          <w:bCs/>
        </w:rPr>
        <w:t>Tucunduva (13,8), Nova Palma (13,4), Tupanci do Sul (13,3), São Valentim do Sul (12,4), Aceguá (11,9), Dois Lajeados (11,7), Severiano de Almeida (11,6), Maximiliano de Almeida (11,5), Capitão (10,9) e Arroio do Tigre (10,3).</w:t>
      </w:r>
    </w:p>
    <w:p w:rsidR="00790164" w:rsidRPr="009C0164" w:rsidRDefault="00790164"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Indicam-se </w:t>
      </w:r>
      <w:r w:rsidR="00346135" w:rsidRPr="009C0164">
        <w:rPr>
          <w:rFonts w:ascii="Times New Roman" w:hAnsi="Times New Roman" w:cs="Times New Roman"/>
          <w:bCs/>
        </w:rPr>
        <w:t xml:space="preserve">maior número de casos de óbitos por DTHA </w:t>
      </w:r>
      <w:r w:rsidRPr="009C0164">
        <w:rPr>
          <w:rFonts w:ascii="Times New Roman" w:hAnsi="Times New Roman" w:cs="Times New Roman"/>
          <w:bCs/>
        </w:rPr>
        <w:t xml:space="preserve">nos municípios de </w:t>
      </w:r>
      <w:r w:rsidR="00346135" w:rsidRPr="009C0164">
        <w:rPr>
          <w:rFonts w:ascii="Times New Roman" w:hAnsi="Times New Roman" w:cs="Times New Roman"/>
          <w:bCs/>
        </w:rPr>
        <w:t>Porto Alegre (33), Caxias do Sul (10), Passo Fundo (9), Canoas (7), Lajeado (6), Gravataí (5), Pelotas (5), Rio Grande (5), Santa Maria (5) e Viamão (5</w:t>
      </w:r>
      <w:r w:rsidR="00530DFB" w:rsidRPr="009C0164">
        <w:rPr>
          <w:rFonts w:ascii="Times New Roman" w:hAnsi="Times New Roman" w:cs="Times New Roman"/>
          <w:bCs/>
        </w:rPr>
        <w:t>) (Figura 1).</w:t>
      </w:r>
    </w:p>
    <w:p w:rsidR="00346135" w:rsidRPr="009C0164" w:rsidRDefault="00790164"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Os coeficientes </w:t>
      </w:r>
      <w:r w:rsidR="00346135" w:rsidRPr="009C0164">
        <w:rPr>
          <w:rFonts w:ascii="Times New Roman" w:hAnsi="Times New Roman" w:cs="Times New Roman"/>
          <w:bCs/>
        </w:rPr>
        <w:t>de mortalidade mais acentuados</w:t>
      </w:r>
      <w:r w:rsidRPr="009C0164">
        <w:rPr>
          <w:rFonts w:ascii="Times New Roman" w:hAnsi="Times New Roman" w:cs="Times New Roman"/>
          <w:bCs/>
        </w:rPr>
        <w:t xml:space="preserve"> integram </w:t>
      </w:r>
      <w:r w:rsidR="00346135" w:rsidRPr="009C0164">
        <w:rPr>
          <w:rFonts w:ascii="Times New Roman" w:hAnsi="Times New Roman" w:cs="Times New Roman"/>
          <w:bCs/>
        </w:rPr>
        <w:t>Coqueiro Baixo (0,6), Ernestina (0,6), Cruzaltense (0,5), Santo Antônio do Palma (0,5), Senador Salgado Filho (0,3), Centenário (0,3), Monte Alegre dos Campos (0,3), São Martinho da Serra (0,3), Vila Flores (0,3) e Rio dos Índios (0,3).</w:t>
      </w:r>
    </w:p>
    <w:p w:rsidR="00D367E3" w:rsidRPr="009C0164" w:rsidRDefault="00D367E3"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Apresenta-se </w:t>
      </w:r>
      <w:r w:rsidR="006170D2" w:rsidRPr="009C0164">
        <w:rPr>
          <w:rFonts w:ascii="Times New Roman" w:hAnsi="Times New Roman" w:cs="Times New Roman"/>
          <w:bCs/>
        </w:rPr>
        <w:t>independência espacial significativa</w:t>
      </w:r>
      <w:r w:rsidRPr="009C0164">
        <w:rPr>
          <w:rFonts w:ascii="Times New Roman" w:hAnsi="Times New Roman" w:cs="Times New Roman"/>
          <w:bCs/>
        </w:rPr>
        <w:t>, no que tange a análise espacial do quantitativo municipal</w:t>
      </w:r>
      <w:r w:rsidR="00EE7386">
        <w:rPr>
          <w:rFonts w:ascii="Times New Roman" w:hAnsi="Times New Roman" w:cs="Times New Roman"/>
          <w:bCs/>
        </w:rPr>
        <w:t>,</w:t>
      </w:r>
      <w:r w:rsidR="006170D2" w:rsidRPr="009C0164">
        <w:rPr>
          <w:rFonts w:ascii="Times New Roman" w:hAnsi="Times New Roman" w:cs="Times New Roman"/>
          <w:bCs/>
        </w:rPr>
        <w:t>tanto para internações hospitalares (</w:t>
      </w:r>
      <w:r w:rsidR="006170D2" w:rsidRPr="009C0164">
        <w:rPr>
          <w:rFonts w:ascii="Times New Roman" w:hAnsi="Times New Roman" w:cs="Times New Roman"/>
          <w:bCs/>
          <w:i/>
        </w:rPr>
        <w:t>I</w:t>
      </w:r>
      <w:r w:rsidR="006170D2" w:rsidRPr="009C0164">
        <w:rPr>
          <w:rFonts w:ascii="Times New Roman" w:hAnsi="Times New Roman" w:cs="Times New Roman"/>
          <w:bCs/>
        </w:rPr>
        <w:t xml:space="preserve">=0,12 </w:t>
      </w:r>
      <w:r w:rsidR="006170D2" w:rsidRPr="009C0164">
        <w:rPr>
          <w:rFonts w:ascii="Times New Roman" w:hAnsi="Times New Roman" w:cs="Times New Roman"/>
          <w:bCs/>
          <w:i/>
        </w:rPr>
        <w:t>p</w:t>
      </w:r>
      <w:r w:rsidR="006170D2" w:rsidRPr="009C0164">
        <w:rPr>
          <w:rFonts w:ascii="Times New Roman" w:hAnsi="Times New Roman" w:cs="Times New Roman"/>
          <w:bCs/>
        </w:rPr>
        <w:t xml:space="preserve">=0,02) quanto para </w:t>
      </w:r>
      <w:r w:rsidRPr="009C0164">
        <w:rPr>
          <w:rFonts w:ascii="Times New Roman" w:hAnsi="Times New Roman" w:cs="Times New Roman"/>
          <w:bCs/>
        </w:rPr>
        <w:t xml:space="preserve">os </w:t>
      </w:r>
      <w:r w:rsidR="006170D2" w:rsidRPr="009C0164">
        <w:rPr>
          <w:rFonts w:ascii="Times New Roman" w:hAnsi="Times New Roman" w:cs="Times New Roman"/>
          <w:bCs/>
        </w:rPr>
        <w:t>óbitos (</w:t>
      </w:r>
      <w:r w:rsidR="006170D2" w:rsidRPr="009C0164">
        <w:rPr>
          <w:rFonts w:ascii="Times New Roman" w:hAnsi="Times New Roman" w:cs="Times New Roman"/>
          <w:bCs/>
          <w:i/>
        </w:rPr>
        <w:t>I</w:t>
      </w:r>
      <w:r w:rsidR="006170D2" w:rsidRPr="009C0164">
        <w:rPr>
          <w:rFonts w:ascii="Times New Roman" w:hAnsi="Times New Roman" w:cs="Times New Roman"/>
          <w:bCs/>
        </w:rPr>
        <w:t xml:space="preserve">=0,14 </w:t>
      </w:r>
      <w:r w:rsidR="006170D2" w:rsidRPr="009C0164">
        <w:rPr>
          <w:rFonts w:ascii="Times New Roman" w:hAnsi="Times New Roman" w:cs="Times New Roman"/>
          <w:bCs/>
          <w:i/>
        </w:rPr>
        <w:t>p</w:t>
      </w:r>
      <w:r w:rsidR="006170D2" w:rsidRPr="009C0164">
        <w:rPr>
          <w:rFonts w:ascii="Times New Roman" w:hAnsi="Times New Roman" w:cs="Times New Roman"/>
          <w:bCs/>
        </w:rPr>
        <w:t>=0,04) por DTHA, mostrando que o padrão espacial é aleatório</w:t>
      </w:r>
      <w:r w:rsidR="00530DFB" w:rsidRPr="009C0164">
        <w:rPr>
          <w:rFonts w:ascii="Times New Roman" w:hAnsi="Times New Roman" w:cs="Times New Roman"/>
          <w:bCs/>
        </w:rPr>
        <w:t xml:space="preserve"> (Figura 1)</w:t>
      </w:r>
      <w:r w:rsidRPr="009C0164">
        <w:rPr>
          <w:rFonts w:ascii="Times New Roman" w:hAnsi="Times New Roman" w:cs="Times New Roman"/>
          <w:bCs/>
        </w:rPr>
        <w:t>.</w:t>
      </w:r>
    </w:p>
    <w:p w:rsidR="006170D2" w:rsidRPr="009C0164" w:rsidRDefault="00D367E3"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Aponta-se </w:t>
      </w:r>
      <w:r w:rsidR="006170D2" w:rsidRPr="009C0164">
        <w:rPr>
          <w:rFonts w:ascii="Times New Roman" w:hAnsi="Times New Roman" w:cs="Times New Roman"/>
          <w:bCs/>
        </w:rPr>
        <w:t>relaç</w:t>
      </w:r>
      <w:r w:rsidR="00D17F3B" w:rsidRPr="009C0164">
        <w:rPr>
          <w:rFonts w:ascii="Times New Roman" w:hAnsi="Times New Roman" w:cs="Times New Roman"/>
          <w:bCs/>
        </w:rPr>
        <w:t xml:space="preserve">ão significativa entre o número de internações e </w:t>
      </w:r>
      <w:r w:rsidRPr="009C0164">
        <w:rPr>
          <w:rFonts w:ascii="Times New Roman" w:hAnsi="Times New Roman" w:cs="Times New Roman"/>
          <w:bCs/>
        </w:rPr>
        <w:t xml:space="preserve">o </w:t>
      </w:r>
      <w:r w:rsidR="00D17F3B" w:rsidRPr="009C0164">
        <w:rPr>
          <w:rFonts w:ascii="Times New Roman" w:hAnsi="Times New Roman" w:cs="Times New Roman"/>
          <w:bCs/>
        </w:rPr>
        <w:t>número de óbitos, por município, decorrentes de DTHA (</w:t>
      </w:r>
      <w:r w:rsidR="00D17F3B" w:rsidRPr="009C0164">
        <w:rPr>
          <w:rFonts w:ascii="Times New Roman" w:hAnsi="Times New Roman" w:cs="Times New Roman"/>
          <w:bCs/>
          <w:i/>
        </w:rPr>
        <w:t>r</w:t>
      </w:r>
      <w:r w:rsidR="00D17F3B" w:rsidRPr="009C0164">
        <w:rPr>
          <w:rFonts w:ascii="Times New Roman" w:hAnsi="Times New Roman" w:cs="Times New Roman"/>
          <w:bCs/>
        </w:rPr>
        <w:t xml:space="preserve">=0,834 </w:t>
      </w:r>
      <w:r w:rsidR="00D17F3B" w:rsidRPr="009C0164">
        <w:rPr>
          <w:rFonts w:ascii="Times New Roman" w:hAnsi="Times New Roman" w:cs="Times New Roman"/>
          <w:bCs/>
          <w:i/>
        </w:rPr>
        <w:t>p</w:t>
      </w:r>
      <w:r w:rsidR="00D17F3B" w:rsidRPr="009C0164">
        <w:rPr>
          <w:rFonts w:ascii="Times New Roman" w:hAnsi="Times New Roman" w:cs="Times New Roman"/>
          <w:bCs/>
        </w:rPr>
        <w:t>=0,000</w:t>
      </w:r>
      <w:r w:rsidR="004F7917" w:rsidRPr="009C0164">
        <w:rPr>
          <w:rFonts w:ascii="Times New Roman" w:hAnsi="Times New Roman" w:cs="Times New Roman"/>
          <w:bCs/>
        </w:rPr>
        <w:t>),</w:t>
      </w:r>
      <w:r w:rsidRPr="009C0164">
        <w:rPr>
          <w:rFonts w:ascii="Times New Roman" w:hAnsi="Times New Roman" w:cs="Times New Roman"/>
          <w:bCs/>
        </w:rPr>
        <w:t xml:space="preserve"> através da correlação de Pearson. A</w:t>
      </w:r>
      <w:r w:rsidR="004F7917" w:rsidRPr="009C0164">
        <w:rPr>
          <w:rFonts w:ascii="Times New Roman" w:hAnsi="Times New Roman" w:cs="Times New Roman"/>
          <w:bCs/>
        </w:rPr>
        <w:t xml:space="preserve"> análise descritiva das variáveis</w:t>
      </w:r>
      <w:r w:rsidRPr="009C0164">
        <w:rPr>
          <w:rFonts w:ascii="Times New Roman" w:hAnsi="Times New Roman" w:cs="Times New Roman"/>
          <w:bCs/>
        </w:rPr>
        <w:t xml:space="preserve"> de saúde e população </w:t>
      </w:r>
      <w:r w:rsidR="00D11A67">
        <w:rPr>
          <w:rFonts w:ascii="Times New Roman" w:hAnsi="Times New Roman" w:cs="Times New Roman"/>
          <w:bCs/>
        </w:rPr>
        <w:t>(</w:t>
      </w:r>
      <w:r w:rsidR="004F7917" w:rsidRPr="009C0164">
        <w:rPr>
          <w:rFonts w:ascii="Times New Roman" w:hAnsi="Times New Roman" w:cs="Times New Roman"/>
          <w:bCs/>
        </w:rPr>
        <w:t>Tabela 1</w:t>
      </w:r>
      <w:r w:rsidR="00D11A67">
        <w:rPr>
          <w:rFonts w:ascii="Times New Roman" w:hAnsi="Times New Roman" w:cs="Times New Roman"/>
          <w:bCs/>
        </w:rPr>
        <w:t>)</w:t>
      </w:r>
      <w:r w:rsidR="004F7917" w:rsidRPr="009C0164">
        <w:rPr>
          <w:rFonts w:ascii="Times New Roman" w:hAnsi="Times New Roman" w:cs="Times New Roman"/>
          <w:bCs/>
        </w:rPr>
        <w:t>.</w:t>
      </w:r>
    </w:p>
    <w:p w:rsidR="00AC20E3" w:rsidRDefault="00AC20E3" w:rsidP="009C0164">
      <w:pPr>
        <w:autoSpaceDE w:val="0"/>
        <w:autoSpaceDN w:val="0"/>
        <w:adjustRightInd w:val="0"/>
        <w:spacing w:before="120" w:after="120" w:line="240" w:lineRule="auto"/>
        <w:ind w:firstLine="709"/>
        <w:jc w:val="both"/>
        <w:rPr>
          <w:rFonts w:ascii="Times New Roman" w:hAnsi="Times New Roman" w:cs="Times New Roman"/>
          <w:bCs/>
        </w:rPr>
        <w:sectPr w:rsidR="00AC20E3" w:rsidSect="00AC20E3">
          <w:footnotePr>
            <w:numFmt w:val="lowerLetter"/>
          </w:footnotePr>
          <w:type w:val="continuous"/>
          <w:pgSz w:w="11906" w:h="16838"/>
          <w:pgMar w:top="1134" w:right="1134" w:bottom="1134" w:left="1134" w:header="567" w:footer="567" w:gutter="0"/>
          <w:cols w:num="2" w:space="708"/>
          <w:docGrid w:linePitch="360"/>
        </w:sectPr>
      </w:pPr>
    </w:p>
    <w:p w:rsidR="00AC20E3" w:rsidRDefault="00AC20E3" w:rsidP="00AC20E3">
      <w:pPr>
        <w:autoSpaceDE w:val="0"/>
        <w:autoSpaceDN w:val="0"/>
        <w:adjustRightInd w:val="0"/>
        <w:spacing w:before="120" w:after="120" w:line="240" w:lineRule="auto"/>
        <w:jc w:val="both"/>
        <w:rPr>
          <w:rFonts w:ascii="Times New Roman" w:hAnsi="Times New Roman" w:cs="Times New Roman"/>
          <w:bCs/>
        </w:rPr>
      </w:pPr>
    </w:p>
    <w:p w:rsidR="003D6DD7" w:rsidRPr="009C0164" w:rsidRDefault="003D6DD7" w:rsidP="00AC20E3">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rPr>
        <w:t>Tabela 1. Análise descritiva das variáveis</w:t>
      </w:r>
      <w:r w:rsidR="004C73C5" w:rsidRPr="009C0164">
        <w:rPr>
          <w:rFonts w:ascii="Times New Roman" w:hAnsi="Times New Roman" w:cs="Times New Roman"/>
          <w:bCs/>
        </w:rPr>
        <w:t xml:space="preserve"> populacionais e</w:t>
      </w:r>
      <w:r w:rsidRPr="009C0164">
        <w:rPr>
          <w:rFonts w:ascii="Times New Roman" w:hAnsi="Times New Roman" w:cs="Times New Roman"/>
          <w:bCs/>
        </w:rPr>
        <w:t xml:space="preserve"> de saúde</w:t>
      </w:r>
      <w:r w:rsidR="00AC1389">
        <w:rPr>
          <w:rFonts w:ascii="Times New Roman" w:hAnsi="Times New Roman" w:cs="Times New Roman"/>
          <w:bCs/>
        </w:rPr>
        <w:t xml:space="preserve"> no estado do Rio Grande do Sul, 2016.</w:t>
      </w:r>
    </w:p>
    <w:tbl>
      <w:tblPr>
        <w:tblW w:w="0" w:type="auto"/>
        <w:jc w:val="center"/>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1134"/>
        <w:gridCol w:w="1116"/>
        <w:gridCol w:w="1701"/>
        <w:gridCol w:w="1657"/>
        <w:gridCol w:w="1701"/>
        <w:gridCol w:w="1921"/>
      </w:tblGrid>
      <w:tr w:rsidR="003D6DD7" w:rsidRPr="009C0164" w:rsidTr="00D11A67">
        <w:trPr>
          <w:trHeight w:val="300"/>
          <w:jc w:val="center"/>
        </w:trPr>
        <w:tc>
          <w:tcPr>
            <w:tcW w:w="1134" w:type="dxa"/>
            <w:tcBorders>
              <w:top w:val="single" w:sz="4" w:space="0" w:color="auto"/>
              <w:bottom w:val="single" w:sz="4" w:space="0" w:color="auto"/>
            </w:tcBorders>
            <w:shd w:val="clear" w:color="auto" w:fill="auto"/>
            <w:noWrap/>
            <w:vAlign w:val="center"/>
            <w:hideMark/>
          </w:tcPr>
          <w:p w:rsidR="00BF1E3B" w:rsidRPr="009C0164" w:rsidRDefault="00D11A67" w:rsidP="00D11A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Medidas de Dispersão</w:t>
            </w:r>
          </w:p>
        </w:tc>
        <w:tc>
          <w:tcPr>
            <w:tcW w:w="1116" w:type="dxa"/>
            <w:tcBorders>
              <w:top w:val="single" w:sz="4" w:space="0" w:color="auto"/>
              <w:bottom w:val="single" w:sz="4" w:space="0" w:color="auto"/>
            </w:tcBorders>
            <w:shd w:val="clear" w:color="auto" w:fill="auto"/>
            <w:noWrap/>
            <w:vAlign w:val="center"/>
            <w:hideMark/>
          </w:tcPr>
          <w:p w:rsidR="00BF1E3B" w:rsidRPr="009C0164" w:rsidRDefault="00D11A67" w:rsidP="00D11A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Tamanho da </w:t>
            </w:r>
            <w:r w:rsidR="00BF1E3B" w:rsidRPr="009C0164">
              <w:rPr>
                <w:rFonts w:ascii="Times New Roman" w:eastAsia="Times New Roman" w:hAnsi="Times New Roman" w:cs="Times New Roman"/>
                <w:color w:val="000000"/>
              </w:rPr>
              <w:t>Pop</w:t>
            </w:r>
            <w:r w:rsidR="003D6DD7" w:rsidRPr="009C0164">
              <w:rPr>
                <w:rFonts w:ascii="Times New Roman" w:eastAsia="Times New Roman" w:hAnsi="Times New Roman" w:cs="Times New Roman"/>
                <w:color w:val="000000"/>
              </w:rPr>
              <w:t>ulação</w:t>
            </w:r>
          </w:p>
        </w:tc>
        <w:tc>
          <w:tcPr>
            <w:tcW w:w="1701" w:type="dxa"/>
            <w:tcBorders>
              <w:top w:val="single" w:sz="4" w:space="0" w:color="auto"/>
              <w:bottom w:val="single" w:sz="4" w:space="0" w:color="auto"/>
            </w:tcBorders>
            <w:shd w:val="clear" w:color="auto" w:fill="auto"/>
            <w:noWrap/>
            <w:vAlign w:val="center"/>
            <w:hideMark/>
          </w:tcPr>
          <w:p w:rsidR="00BF1E3B" w:rsidRPr="009C0164" w:rsidRDefault="003D6DD7"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Número de óbitos por DTHA</w:t>
            </w:r>
          </w:p>
        </w:tc>
        <w:tc>
          <w:tcPr>
            <w:tcW w:w="1657" w:type="dxa"/>
            <w:tcBorders>
              <w:top w:val="single" w:sz="4" w:space="0" w:color="auto"/>
              <w:bottom w:val="single" w:sz="4" w:space="0" w:color="auto"/>
            </w:tcBorders>
            <w:shd w:val="clear" w:color="auto" w:fill="auto"/>
            <w:noWrap/>
            <w:vAlign w:val="center"/>
            <w:hideMark/>
          </w:tcPr>
          <w:p w:rsidR="00A71CA6" w:rsidRDefault="003D6DD7" w:rsidP="00A71CA6">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Coeficiente de mortalidade por DTHA</w:t>
            </w:r>
          </w:p>
          <w:p w:rsidR="00BF1E3B" w:rsidRPr="009C0164" w:rsidRDefault="00A71CA6" w:rsidP="00A71CA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9C0164">
              <w:rPr>
                <w:rFonts w:ascii="Times New Roman" w:hAnsi="Times New Roman" w:cs="Times New Roman"/>
                <w:bCs/>
              </w:rPr>
              <w:t>por 1.000 habitantes</w:t>
            </w:r>
            <w:r>
              <w:rPr>
                <w:rFonts w:ascii="Times New Roman" w:eastAsia="Times New Roman" w:hAnsi="Times New Roman" w:cs="Times New Roman"/>
                <w:color w:val="000000"/>
              </w:rPr>
              <w:t>)</w:t>
            </w:r>
          </w:p>
        </w:tc>
        <w:tc>
          <w:tcPr>
            <w:tcW w:w="1701" w:type="dxa"/>
            <w:tcBorders>
              <w:top w:val="single" w:sz="4" w:space="0" w:color="auto"/>
              <w:bottom w:val="single" w:sz="4" w:space="0" w:color="auto"/>
            </w:tcBorders>
            <w:shd w:val="clear" w:color="auto" w:fill="auto"/>
            <w:noWrap/>
            <w:vAlign w:val="center"/>
            <w:hideMark/>
          </w:tcPr>
          <w:p w:rsidR="00BF1E3B" w:rsidRPr="009C0164" w:rsidRDefault="003D6DD7"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Número de internações hospitalares por DTHA</w:t>
            </w:r>
          </w:p>
        </w:tc>
        <w:tc>
          <w:tcPr>
            <w:tcW w:w="1921" w:type="dxa"/>
            <w:tcBorders>
              <w:top w:val="single" w:sz="4" w:space="0" w:color="auto"/>
              <w:bottom w:val="single" w:sz="4" w:space="0" w:color="auto"/>
            </w:tcBorders>
            <w:shd w:val="clear" w:color="auto" w:fill="auto"/>
            <w:noWrap/>
            <w:vAlign w:val="center"/>
            <w:hideMark/>
          </w:tcPr>
          <w:p w:rsidR="00A71CA6" w:rsidRDefault="003D6DD7"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Coeficiente de internação hospitalar por DTHA</w:t>
            </w:r>
          </w:p>
          <w:p w:rsidR="00BF1E3B" w:rsidRPr="009C0164" w:rsidRDefault="00A71CA6" w:rsidP="00D11A6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9C0164">
              <w:rPr>
                <w:rFonts w:ascii="Times New Roman" w:hAnsi="Times New Roman" w:cs="Times New Roman"/>
                <w:bCs/>
              </w:rPr>
              <w:t>por 1.000 habitantes</w:t>
            </w:r>
            <w:r>
              <w:rPr>
                <w:rFonts w:ascii="Times New Roman" w:eastAsia="Times New Roman" w:hAnsi="Times New Roman" w:cs="Times New Roman"/>
                <w:color w:val="000000"/>
              </w:rPr>
              <w:t>)</w:t>
            </w:r>
          </w:p>
        </w:tc>
      </w:tr>
      <w:tr w:rsidR="003D6DD7" w:rsidRPr="009C0164" w:rsidTr="00D11A67">
        <w:trPr>
          <w:trHeight w:val="300"/>
          <w:jc w:val="center"/>
        </w:trPr>
        <w:tc>
          <w:tcPr>
            <w:tcW w:w="1134" w:type="dxa"/>
            <w:tcBorders>
              <w:top w:val="single" w:sz="4" w:space="0" w:color="auto"/>
              <w:bottom w:val="nil"/>
            </w:tcBorders>
            <w:shd w:val="clear" w:color="auto" w:fill="auto"/>
            <w:noWrap/>
            <w:vAlign w:val="center"/>
            <w:hideMark/>
          </w:tcPr>
          <w:p w:rsidR="00BF1E3B" w:rsidRPr="009C0164" w:rsidRDefault="003D6DD7" w:rsidP="00707B83">
            <w:pPr>
              <w:spacing w:after="0" w:line="240" w:lineRule="auto"/>
              <w:rPr>
                <w:rFonts w:ascii="Times New Roman" w:eastAsia="Times New Roman" w:hAnsi="Times New Roman" w:cs="Times New Roman"/>
                <w:color w:val="000000"/>
              </w:rPr>
            </w:pPr>
            <w:r w:rsidRPr="009C0164">
              <w:rPr>
                <w:rFonts w:ascii="Times New Roman" w:eastAsia="Times New Roman" w:hAnsi="Times New Roman" w:cs="Times New Roman"/>
                <w:color w:val="000000"/>
              </w:rPr>
              <w:t>Média</w:t>
            </w:r>
          </w:p>
        </w:tc>
        <w:tc>
          <w:tcPr>
            <w:tcW w:w="1116" w:type="dxa"/>
            <w:tcBorders>
              <w:top w:val="single" w:sz="4" w:space="0" w:color="auto"/>
              <w:bottom w:val="nil"/>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22631,7</w:t>
            </w:r>
          </w:p>
        </w:tc>
        <w:tc>
          <w:tcPr>
            <w:tcW w:w="1701" w:type="dxa"/>
            <w:tcBorders>
              <w:top w:val="single" w:sz="4" w:space="0" w:color="auto"/>
              <w:left w:val="single" w:sz="4" w:space="0" w:color="auto"/>
              <w:bottom w:val="nil"/>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0,4</w:t>
            </w:r>
          </w:p>
        </w:tc>
        <w:tc>
          <w:tcPr>
            <w:tcW w:w="1657" w:type="dxa"/>
            <w:tcBorders>
              <w:top w:val="single" w:sz="4" w:space="0" w:color="auto"/>
              <w:left w:val="single" w:sz="4" w:space="0" w:color="auto"/>
              <w:bottom w:val="nil"/>
              <w:right w:val="single" w:sz="4" w:space="0" w:color="auto"/>
            </w:tcBorders>
            <w:shd w:val="clear" w:color="auto" w:fill="auto"/>
            <w:noWrap/>
            <w:vAlign w:val="center"/>
            <w:hideMark/>
          </w:tcPr>
          <w:p w:rsidR="00BF1E3B" w:rsidRPr="009C0164" w:rsidRDefault="003D6DD7"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0</w:t>
            </w:r>
          </w:p>
        </w:tc>
        <w:tc>
          <w:tcPr>
            <w:tcW w:w="1701" w:type="dxa"/>
            <w:tcBorders>
              <w:top w:val="single" w:sz="4" w:space="0" w:color="auto"/>
              <w:left w:val="single" w:sz="4" w:space="0" w:color="auto"/>
              <w:bottom w:val="nil"/>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19,5</w:t>
            </w:r>
          </w:p>
        </w:tc>
        <w:tc>
          <w:tcPr>
            <w:tcW w:w="1921" w:type="dxa"/>
            <w:tcBorders>
              <w:top w:val="single" w:sz="4" w:space="0" w:color="auto"/>
              <w:left w:val="single" w:sz="4" w:space="0" w:color="auto"/>
              <w:bottom w:val="nil"/>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1,6</w:t>
            </w:r>
          </w:p>
        </w:tc>
      </w:tr>
      <w:tr w:rsidR="003D6DD7" w:rsidRPr="009C0164" w:rsidTr="00D11A67">
        <w:trPr>
          <w:trHeight w:val="300"/>
          <w:jc w:val="center"/>
        </w:trPr>
        <w:tc>
          <w:tcPr>
            <w:tcW w:w="1134" w:type="dxa"/>
            <w:tcBorders>
              <w:top w:val="nil"/>
              <w:bottom w:val="nil"/>
            </w:tcBorders>
            <w:shd w:val="clear" w:color="auto" w:fill="auto"/>
            <w:noWrap/>
            <w:vAlign w:val="center"/>
            <w:hideMark/>
          </w:tcPr>
          <w:p w:rsidR="00BF1E3B" w:rsidRPr="009C0164" w:rsidRDefault="003D6DD7" w:rsidP="00707B83">
            <w:pPr>
              <w:spacing w:after="0" w:line="240" w:lineRule="auto"/>
              <w:rPr>
                <w:rFonts w:ascii="Times New Roman" w:eastAsia="Times New Roman" w:hAnsi="Times New Roman" w:cs="Times New Roman"/>
                <w:color w:val="000000"/>
              </w:rPr>
            </w:pPr>
            <w:r w:rsidRPr="009C0164">
              <w:rPr>
                <w:rFonts w:ascii="Times New Roman" w:eastAsia="Times New Roman" w:hAnsi="Times New Roman" w:cs="Times New Roman"/>
                <w:color w:val="000000"/>
              </w:rPr>
              <w:lastRenderedPageBreak/>
              <w:t>Mediana</w:t>
            </w:r>
          </w:p>
        </w:tc>
        <w:tc>
          <w:tcPr>
            <w:tcW w:w="1116" w:type="dxa"/>
            <w:tcBorders>
              <w:top w:val="nil"/>
              <w:bottom w:val="nil"/>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5732</w:t>
            </w:r>
          </w:p>
        </w:tc>
        <w:tc>
          <w:tcPr>
            <w:tcW w:w="1701" w:type="dxa"/>
            <w:tcBorders>
              <w:top w:val="nil"/>
              <w:left w:val="single" w:sz="4" w:space="0" w:color="auto"/>
              <w:bottom w:val="nil"/>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0</w:t>
            </w:r>
          </w:p>
        </w:tc>
        <w:tc>
          <w:tcPr>
            <w:tcW w:w="1657" w:type="dxa"/>
            <w:tcBorders>
              <w:top w:val="nil"/>
              <w:left w:val="single" w:sz="4" w:space="0" w:color="auto"/>
              <w:bottom w:val="nil"/>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0</w:t>
            </w:r>
          </w:p>
        </w:tc>
        <w:tc>
          <w:tcPr>
            <w:tcW w:w="1701" w:type="dxa"/>
            <w:tcBorders>
              <w:top w:val="nil"/>
              <w:left w:val="single" w:sz="4" w:space="0" w:color="auto"/>
              <w:bottom w:val="nil"/>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5</w:t>
            </w:r>
          </w:p>
        </w:tc>
        <w:tc>
          <w:tcPr>
            <w:tcW w:w="1921" w:type="dxa"/>
            <w:tcBorders>
              <w:top w:val="nil"/>
              <w:left w:val="single" w:sz="4" w:space="0" w:color="auto"/>
              <w:bottom w:val="nil"/>
            </w:tcBorders>
            <w:shd w:val="clear" w:color="auto" w:fill="auto"/>
            <w:noWrap/>
            <w:vAlign w:val="center"/>
            <w:hideMark/>
          </w:tcPr>
          <w:p w:rsidR="00BF1E3B" w:rsidRPr="009C0164" w:rsidRDefault="003D6DD7"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0,7</w:t>
            </w:r>
          </w:p>
        </w:tc>
      </w:tr>
      <w:tr w:rsidR="003D6DD7" w:rsidRPr="009C0164" w:rsidTr="00D11A67">
        <w:trPr>
          <w:trHeight w:val="300"/>
          <w:jc w:val="center"/>
        </w:trPr>
        <w:tc>
          <w:tcPr>
            <w:tcW w:w="1134" w:type="dxa"/>
            <w:tcBorders>
              <w:top w:val="nil"/>
              <w:bottom w:val="nil"/>
            </w:tcBorders>
            <w:shd w:val="clear" w:color="auto" w:fill="auto"/>
            <w:noWrap/>
            <w:vAlign w:val="center"/>
            <w:hideMark/>
          </w:tcPr>
          <w:p w:rsidR="00BF1E3B" w:rsidRPr="009C0164" w:rsidRDefault="003D6DD7" w:rsidP="00707B83">
            <w:pPr>
              <w:spacing w:after="0" w:line="240" w:lineRule="auto"/>
              <w:rPr>
                <w:rFonts w:ascii="Times New Roman" w:eastAsia="Times New Roman" w:hAnsi="Times New Roman" w:cs="Times New Roman"/>
                <w:color w:val="000000"/>
              </w:rPr>
            </w:pPr>
            <w:r w:rsidRPr="009C0164">
              <w:rPr>
                <w:rFonts w:ascii="Times New Roman" w:eastAsia="Times New Roman" w:hAnsi="Times New Roman" w:cs="Times New Roman"/>
                <w:color w:val="000000"/>
              </w:rPr>
              <w:t>Máximo</w:t>
            </w:r>
          </w:p>
        </w:tc>
        <w:tc>
          <w:tcPr>
            <w:tcW w:w="1116" w:type="dxa"/>
            <w:tcBorders>
              <w:top w:val="nil"/>
              <w:bottom w:val="nil"/>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1476867</w:t>
            </w:r>
          </w:p>
        </w:tc>
        <w:tc>
          <w:tcPr>
            <w:tcW w:w="1701" w:type="dxa"/>
            <w:tcBorders>
              <w:top w:val="nil"/>
              <w:left w:val="single" w:sz="4" w:space="0" w:color="auto"/>
              <w:bottom w:val="nil"/>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33</w:t>
            </w:r>
          </w:p>
        </w:tc>
        <w:tc>
          <w:tcPr>
            <w:tcW w:w="1657" w:type="dxa"/>
            <w:tcBorders>
              <w:top w:val="nil"/>
              <w:left w:val="single" w:sz="4" w:space="0" w:color="auto"/>
              <w:bottom w:val="nil"/>
              <w:right w:val="single" w:sz="4" w:space="0" w:color="auto"/>
            </w:tcBorders>
            <w:shd w:val="clear" w:color="auto" w:fill="auto"/>
            <w:noWrap/>
            <w:vAlign w:val="center"/>
            <w:hideMark/>
          </w:tcPr>
          <w:p w:rsidR="00BF1E3B" w:rsidRPr="009C0164" w:rsidRDefault="003D6DD7"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0,6</w:t>
            </w:r>
          </w:p>
        </w:tc>
        <w:tc>
          <w:tcPr>
            <w:tcW w:w="1701" w:type="dxa"/>
            <w:tcBorders>
              <w:top w:val="nil"/>
              <w:left w:val="single" w:sz="4" w:space="0" w:color="auto"/>
              <w:bottom w:val="nil"/>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1085</w:t>
            </w:r>
          </w:p>
        </w:tc>
        <w:tc>
          <w:tcPr>
            <w:tcW w:w="1921" w:type="dxa"/>
            <w:tcBorders>
              <w:top w:val="nil"/>
              <w:left w:val="single" w:sz="4" w:space="0" w:color="auto"/>
              <w:bottom w:val="nil"/>
            </w:tcBorders>
            <w:shd w:val="clear" w:color="auto" w:fill="auto"/>
            <w:noWrap/>
            <w:vAlign w:val="center"/>
            <w:hideMark/>
          </w:tcPr>
          <w:p w:rsidR="00BF1E3B" w:rsidRPr="009C0164" w:rsidRDefault="003D6DD7"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13,8</w:t>
            </w:r>
          </w:p>
        </w:tc>
      </w:tr>
      <w:tr w:rsidR="003D6DD7" w:rsidRPr="009C0164" w:rsidTr="00D11A67">
        <w:trPr>
          <w:trHeight w:val="300"/>
          <w:jc w:val="center"/>
        </w:trPr>
        <w:tc>
          <w:tcPr>
            <w:tcW w:w="1134" w:type="dxa"/>
            <w:tcBorders>
              <w:top w:val="nil"/>
              <w:bottom w:val="single" w:sz="4" w:space="0" w:color="auto"/>
            </w:tcBorders>
            <w:shd w:val="clear" w:color="auto" w:fill="auto"/>
            <w:noWrap/>
            <w:vAlign w:val="center"/>
            <w:hideMark/>
          </w:tcPr>
          <w:p w:rsidR="00BF1E3B" w:rsidRPr="009C0164" w:rsidRDefault="003D6DD7" w:rsidP="00707B83">
            <w:pPr>
              <w:spacing w:after="0" w:line="240" w:lineRule="auto"/>
              <w:rPr>
                <w:rFonts w:ascii="Times New Roman" w:eastAsia="Times New Roman" w:hAnsi="Times New Roman" w:cs="Times New Roman"/>
                <w:color w:val="000000"/>
              </w:rPr>
            </w:pPr>
            <w:r w:rsidRPr="009C0164">
              <w:rPr>
                <w:rFonts w:ascii="Times New Roman" w:eastAsia="Times New Roman" w:hAnsi="Times New Roman" w:cs="Times New Roman"/>
                <w:color w:val="000000"/>
              </w:rPr>
              <w:t>Mínimo</w:t>
            </w:r>
          </w:p>
        </w:tc>
        <w:tc>
          <w:tcPr>
            <w:tcW w:w="1116" w:type="dxa"/>
            <w:tcBorders>
              <w:top w:val="nil"/>
              <w:bottom w:val="single" w:sz="4" w:space="0" w:color="auto"/>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1293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0</w:t>
            </w:r>
          </w:p>
        </w:tc>
        <w:tc>
          <w:tcPr>
            <w:tcW w:w="1657" w:type="dxa"/>
            <w:tcBorders>
              <w:top w:val="nil"/>
              <w:left w:val="single" w:sz="4" w:space="0" w:color="auto"/>
              <w:bottom w:val="single" w:sz="4" w:space="0" w:color="auto"/>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0</w:t>
            </w:r>
          </w:p>
        </w:tc>
        <w:tc>
          <w:tcPr>
            <w:tcW w:w="1921" w:type="dxa"/>
            <w:tcBorders>
              <w:top w:val="nil"/>
              <w:left w:val="single" w:sz="4" w:space="0" w:color="auto"/>
              <w:bottom w:val="single" w:sz="4" w:space="0" w:color="auto"/>
            </w:tcBorders>
            <w:shd w:val="clear" w:color="auto" w:fill="auto"/>
            <w:noWrap/>
            <w:vAlign w:val="center"/>
            <w:hideMark/>
          </w:tcPr>
          <w:p w:rsidR="00BF1E3B" w:rsidRPr="009C0164" w:rsidRDefault="00BF1E3B" w:rsidP="00D11A67">
            <w:pPr>
              <w:spacing w:after="0" w:line="240" w:lineRule="auto"/>
              <w:jc w:val="center"/>
              <w:rPr>
                <w:rFonts w:ascii="Times New Roman" w:eastAsia="Times New Roman" w:hAnsi="Times New Roman" w:cs="Times New Roman"/>
                <w:color w:val="000000"/>
              </w:rPr>
            </w:pPr>
            <w:r w:rsidRPr="009C0164">
              <w:rPr>
                <w:rFonts w:ascii="Times New Roman" w:eastAsia="Times New Roman" w:hAnsi="Times New Roman" w:cs="Times New Roman"/>
                <w:color w:val="000000"/>
              </w:rPr>
              <w:t>0</w:t>
            </w:r>
          </w:p>
        </w:tc>
      </w:tr>
    </w:tbl>
    <w:p w:rsidR="00D00D49" w:rsidRPr="009C0164" w:rsidRDefault="00D00D49" w:rsidP="009C0164">
      <w:pPr>
        <w:autoSpaceDE w:val="0"/>
        <w:autoSpaceDN w:val="0"/>
        <w:adjustRightInd w:val="0"/>
        <w:spacing w:before="120" w:after="120" w:line="240" w:lineRule="auto"/>
        <w:ind w:firstLine="709"/>
        <w:jc w:val="both"/>
        <w:rPr>
          <w:rFonts w:ascii="Times New Roman" w:hAnsi="Times New Roman" w:cs="Times New Roman"/>
          <w:bCs/>
        </w:rPr>
      </w:pPr>
    </w:p>
    <w:p w:rsidR="008C0CAD" w:rsidRDefault="008C0CAD" w:rsidP="009C0164">
      <w:pPr>
        <w:autoSpaceDE w:val="0"/>
        <w:autoSpaceDN w:val="0"/>
        <w:adjustRightInd w:val="0"/>
        <w:spacing w:before="120" w:after="120" w:line="240" w:lineRule="auto"/>
        <w:ind w:firstLine="709"/>
        <w:jc w:val="both"/>
        <w:rPr>
          <w:rFonts w:ascii="Times New Roman" w:hAnsi="Times New Roman" w:cs="Times New Roman"/>
          <w:bCs/>
        </w:rPr>
        <w:sectPr w:rsidR="008C0CAD" w:rsidSect="00AC20E3">
          <w:footnotePr>
            <w:numFmt w:val="lowerLetter"/>
          </w:footnotePr>
          <w:type w:val="continuous"/>
          <w:pgSz w:w="11906" w:h="16838"/>
          <w:pgMar w:top="1134" w:right="1134" w:bottom="1134" w:left="1134" w:header="567" w:footer="567" w:gutter="0"/>
          <w:cols w:space="708"/>
          <w:docGrid w:linePitch="360"/>
        </w:sectPr>
      </w:pPr>
    </w:p>
    <w:p w:rsidR="00284F3D" w:rsidRPr="009C0164" w:rsidRDefault="008A1B3E"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Sinaliza-se que o</w:t>
      </w:r>
      <w:r w:rsidR="00FA5658" w:rsidRPr="009C0164">
        <w:rPr>
          <w:rFonts w:ascii="Times New Roman" w:hAnsi="Times New Roman" w:cs="Times New Roman"/>
          <w:bCs/>
        </w:rPr>
        <w:t>s percentuais municipais de destinação d</w:t>
      </w:r>
      <w:r w:rsidR="005002A8" w:rsidRPr="009C0164">
        <w:rPr>
          <w:rFonts w:ascii="Times New Roman" w:hAnsi="Times New Roman" w:cs="Times New Roman"/>
          <w:bCs/>
        </w:rPr>
        <w:t>e fezes e urina em esgoto variam</w:t>
      </w:r>
      <w:r w:rsidR="00FA5658" w:rsidRPr="009C0164">
        <w:rPr>
          <w:rFonts w:ascii="Times New Roman" w:hAnsi="Times New Roman" w:cs="Times New Roman"/>
          <w:bCs/>
        </w:rPr>
        <w:t xml:space="preserve"> de 0 a 100%, com os índices mais elevados nos municípios de Porto Alegre, Eldorado do Sul, Canoas, São Marcos, Sapucaia do Sul, Vacaria, Guaporé, Igrejinha, Farroupilha e Quaraí, segundo o cadastramento e monitoramento dos Agentes Comunitários de Saúde (Figura 2).</w:t>
      </w:r>
      <w:r w:rsidR="000F2177">
        <w:rPr>
          <w:rFonts w:ascii="Times New Roman" w:hAnsi="Times New Roman" w:cs="Times New Roman"/>
          <w:bCs/>
        </w:rPr>
        <w:t xml:space="preserve"> </w:t>
      </w:r>
      <w:r w:rsidRPr="009C0164">
        <w:rPr>
          <w:rFonts w:ascii="Times New Roman" w:hAnsi="Times New Roman" w:cs="Times New Roman"/>
          <w:bCs/>
        </w:rPr>
        <w:t>Apontou-se</w:t>
      </w:r>
      <w:r w:rsidR="003F3D09" w:rsidRPr="009C0164">
        <w:rPr>
          <w:rFonts w:ascii="Times New Roman" w:hAnsi="Times New Roman" w:cs="Times New Roman"/>
          <w:bCs/>
        </w:rPr>
        <w:t>,</w:t>
      </w:r>
      <w:r w:rsidRPr="009C0164">
        <w:rPr>
          <w:rFonts w:ascii="Times New Roman" w:hAnsi="Times New Roman" w:cs="Times New Roman"/>
          <w:bCs/>
        </w:rPr>
        <w:t>pela correlação de Pearson</w:t>
      </w:r>
      <w:r w:rsidR="003F3D09" w:rsidRPr="009C0164">
        <w:rPr>
          <w:rFonts w:ascii="Times New Roman" w:hAnsi="Times New Roman" w:cs="Times New Roman"/>
          <w:bCs/>
        </w:rPr>
        <w:t>,</w:t>
      </w:r>
      <w:r w:rsidR="00284F3D" w:rsidRPr="009C0164">
        <w:rPr>
          <w:rFonts w:ascii="Times New Roman" w:hAnsi="Times New Roman" w:cs="Times New Roman"/>
          <w:bCs/>
        </w:rPr>
        <w:t>associação significativa entre a destinação</w:t>
      </w:r>
      <w:r w:rsidRPr="009C0164">
        <w:rPr>
          <w:rFonts w:ascii="Times New Roman" w:hAnsi="Times New Roman" w:cs="Times New Roman"/>
          <w:bCs/>
        </w:rPr>
        <w:t xml:space="preserve"> sanitária</w:t>
      </w:r>
      <w:r w:rsidR="00284F3D" w:rsidRPr="009C0164">
        <w:rPr>
          <w:rFonts w:ascii="Times New Roman" w:hAnsi="Times New Roman" w:cs="Times New Roman"/>
          <w:bCs/>
        </w:rPr>
        <w:t xml:space="preserve"> em esgoto com a mortalidade (r=0,539 p=0,000) e com o coeficiente de internação (r=0,556 p=0,000) por DTHA.</w:t>
      </w:r>
    </w:p>
    <w:p w:rsidR="00FA5658" w:rsidRPr="009C0164" w:rsidRDefault="009D0E0E"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Determina-se que o</w:t>
      </w:r>
      <w:r w:rsidR="00FA5658" w:rsidRPr="009C0164">
        <w:rPr>
          <w:rFonts w:ascii="Times New Roman" w:hAnsi="Times New Roman" w:cs="Times New Roman"/>
          <w:bCs/>
        </w:rPr>
        <w:t xml:space="preserve">s percentuais municipais de destinação de fezes e urina </w:t>
      </w:r>
      <w:r w:rsidR="00D50C02" w:rsidRPr="009C0164">
        <w:rPr>
          <w:rFonts w:ascii="Times New Roman" w:hAnsi="Times New Roman" w:cs="Times New Roman"/>
          <w:bCs/>
        </w:rPr>
        <w:t>em fossa, séptica ou rudimentar,</w:t>
      </w:r>
      <w:r w:rsidR="007B6ED5">
        <w:rPr>
          <w:rFonts w:ascii="Times New Roman" w:hAnsi="Times New Roman" w:cs="Times New Roman"/>
          <w:bCs/>
        </w:rPr>
        <w:t>oscilam</w:t>
      </w:r>
      <w:r w:rsidR="00D50C02" w:rsidRPr="009C0164">
        <w:rPr>
          <w:rFonts w:ascii="Times New Roman" w:hAnsi="Times New Roman" w:cs="Times New Roman"/>
          <w:bCs/>
        </w:rPr>
        <w:t xml:space="preserve"> de 0 a 99</w:t>
      </w:r>
      <w:r w:rsidR="00FA5658" w:rsidRPr="009C0164">
        <w:rPr>
          <w:rFonts w:ascii="Times New Roman" w:hAnsi="Times New Roman" w:cs="Times New Roman"/>
          <w:bCs/>
        </w:rPr>
        <w:t>%, com os índices mais elevados nos munic</w:t>
      </w:r>
      <w:r w:rsidR="00D50C02" w:rsidRPr="009C0164">
        <w:rPr>
          <w:rFonts w:ascii="Times New Roman" w:hAnsi="Times New Roman" w:cs="Times New Roman"/>
          <w:bCs/>
        </w:rPr>
        <w:t xml:space="preserve">ípios de Panambi, Teutônia, Westfalia, Ipiranga do Sul, Salvador das Missões, Barra Funda, Engenho Velho, Ernestina, Balneário Pinhal e Nova Alvorada </w:t>
      </w:r>
      <w:r w:rsidR="00FA5658" w:rsidRPr="009C0164">
        <w:rPr>
          <w:rFonts w:ascii="Times New Roman" w:hAnsi="Times New Roman" w:cs="Times New Roman"/>
          <w:bCs/>
        </w:rPr>
        <w:t>(Figura 2).</w:t>
      </w:r>
    </w:p>
    <w:p w:rsidR="003450FB" w:rsidRPr="009C0164" w:rsidRDefault="009D0E0E" w:rsidP="001B4CE8">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Destaca-se que o</w:t>
      </w:r>
      <w:r w:rsidR="00D50C02" w:rsidRPr="009C0164">
        <w:rPr>
          <w:rFonts w:ascii="Times New Roman" w:hAnsi="Times New Roman" w:cs="Times New Roman"/>
          <w:bCs/>
        </w:rPr>
        <w:t xml:space="preserve">s percentuais municipais de destinação de fezes e urina a céu aberto, </w:t>
      </w:r>
      <w:r w:rsidR="00E66A18" w:rsidRPr="009C0164">
        <w:rPr>
          <w:rFonts w:ascii="Times New Roman" w:hAnsi="Times New Roman" w:cs="Times New Roman"/>
          <w:bCs/>
        </w:rPr>
        <w:t>divergiu</w:t>
      </w:r>
      <w:r w:rsidR="00D50C02" w:rsidRPr="009C0164">
        <w:rPr>
          <w:rFonts w:ascii="Times New Roman" w:hAnsi="Times New Roman" w:cs="Times New Roman"/>
          <w:bCs/>
        </w:rPr>
        <w:t xml:space="preserve"> de 0 a 46%, com os índices mais </w:t>
      </w:r>
      <w:r w:rsidR="00E66A18" w:rsidRPr="009C0164">
        <w:rPr>
          <w:rFonts w:ascii="Times New Roman" w:hAnsi="Times New Roman" w:cs="Times New Roman"/>
          <w:bCs/>
        </w:rPr>
        <w:t xml:space="preserve">acentuados </w:t>
      </w:r>
      <w:r w:rsidR="00D50C02" w:rsidRPr="009C0164">
        <w:rPr>
          <w:rFonts w:ascii="Times New Roman" w:hAnsi="Times New Roman" w:cs="Times New Roman"/>
          <w:bCs/>
        </w:rPr>
        <w:t>nos municípios de São Sepé, São José dos Ausentes, Lagoa Vermelha, São José do Herval, Progresso, Bagé, Bom Jesus, Água Santa, Santa Vitória do Palmar e Barros Cassal (Figura 2).</w:t>
      </w:r>
      <w:r w:rsidR="00E66A18" w:rsidRPr="009C0164">
        <w:rPr>
          <w:rFonts w:ascii="Times New Roman" w:hAnsi="Times New Roman" w:cs="Times New Roman"/>
          <w:bCs/>
        </w:rPr>
        <w:t xml:space="preserve">Indica-se, pela análise de correlação, </w:t>
      </w:r>
      <w:r w:rsidR="006B30BC" w:rsidRPr="009C0164">
        <w:rPr>
          <w:rFonts w:ascii="Times New Roman" w:hAnsi="Times New Roman" w:cs="Times New Roman"/>
          <w:bCs/>
        </w:rPr>
        <w:t xml:space="preserve">associação significativa, porém fraca, entre a destinação </w:t>
      </w:r>
      <w:r w:rsidR="002960C5" w:rsidRPr="009C0164">
        <w:rPr>
          <w:rFonts w:ascii="Times New Roman" w:hAnsi="Times New Roman" w:cs="Times New Roman"/>
          <w:bCs/>
        </w:rPr>
        <w:t xml:space="preserve">de fezes e urina </w:t>
      </w:r>
      <w:r w:rsidR="006B30BC" w:rsidRPr="009C0164">
        <w:rPr>
          <w:rFonts w:ascii="Times New Roman" w:hAnsi="Times New Roman" w:cs="Times New Roman"/>
          <w:bCs/>
        </w:rPr>
        <w:t>a céu aberto com a mortalidade (r=0,232 p=0,000) e com o coeficiente de internação (r=0,</w:t>
      </w:r>
      <w:r w:rsidR="005C217D" w:rsidRPr="009C0164">
        <w:rPr>
          <w:rFonts w:ascii="Times New Roman" w:hAnsi="Times New Roman" w:cs="Times New Roman"/>
          <w:bCs/>
        </w:rPr>
        <w:t>102 p=0,03</w:t>
      </w:r>
      <w:r w:rsidR="006B30BC" w:rsidRPr="009C0164">
        <w:rPr>
          <w:rFonts w:ascii="Times New Roman" w:hAnsi="Times New Roman" w:cs="Times New Roman"/>
          <w:bCs/>
        </w:rPr>
        <w:t>) por DTHA.</w:t>
      </w:r>
    </w:p>
    <w:p w:rsidR="00D25CD0" w:rsidRPr="009C0164" w:rsidRDefault="00D25CD0"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As doenças ocasionadas pela contaminação de matéria fecal causam impactos na morbimort</w:t>
      </w:r>
      <w:r w:rsidR="00B02EA4">
        <w:rPr>
          <w:rFonts w:ascii="Times New Roman" w:hAnsi="Times New Roman" w:cs="Times New Roman"/>
          <w:bCs/>
        </w:rPr>
        <w:t>alidade das populações (</w:t>
      </w:r>
      <w:r w:rsidRPr="009C0164">
        <w:rPr>
          <w:rFonts w:ascii="Times New Roman" w:hAnsi="Times New Roman" w:cs="Times New Roman"/>
          <w:bCs/>
        </w:rPr>
        <w:t>UNESCO, 2003), constituem-se exemplos, as epidemias ocasionais e as doenças bacterianas e virais causadas por agentes infecciosos transportados para seres humanos através do consumo de água, como cólera,</w:t>
      </w:r>
      <w:r w:rsidR="002C18A1">
        <w:rPr>
          <w:rFonts w:ascii="Times New Roman" w:hAnsi="Times New Roman" w:cs="Times New Roman"/>
          <w:bCs/>
        </w:rPr>
        <w:t xml:space="preserve"> poliomielite e outras doenças.</w:t>
      </w:r>
      <w:r w:rsidR="002C18A1">
        <w:rPr>
          <w:rStyle w:val="Refdenotaderodap"/>
          <w:rFonts w:ascii="Times New Roman" w:hAnsi="Times New Roman" w:cs="Times New Roman"/>
          <w:bCs/>
        </w:rPr>
        <w:footnoteReference w:id="11"/>
      </w:r>
    </w:p>
    <w:p w:rsidR="005002A8" w:rsidRPr="009C0164" w:rsidRDefault="005002A8"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Os percentuais municipais de coleta de lixo </w:t>
      </w:r>
      <w:r w:rsidR="00B930F4" w:rsidRPr="009C0164">
        <w:rPr>
          <w:rFonts w:ascii="Times New Roman" w:hAnsi="Times New Roman" w:cs="Times New Roman"/>
          <w:bCs/>
        </w:rPr>
        <w:t>expressam-se entre</w:t>
      </w:r>
      <w:r w:rsidRPr="009C0164">
        <w:rPr>
          <w:rFonts w:ascii="Times New Roman" w:hAnsi="Times New Roman" w:cs="Times New Roman"/>
          <w:bCs/>
        </w:rPr>
        <w:t xml:space="preserve"> 0 a 100%, com os índices </w:t>
      </w:r>
      <w:r w:rsidRPr="009C0164">
        <w:rPr>
          <w:rFonts w:ascii="Times New Roman" w:hAnsi="Times New Roman" w:cs="Times New Roman"/>
          <w:bCs/>
        </w:rPr>
        <w:t xml:space="preserve">mais </w:t>
      </w:r>
      <w:r w:rsidR="00B930F4" w:rsidRPr="009C0164">
        <w:rPr>
          <w:rFonts w:ascii="Times New Roman" w:hAnsi="Times New Roman" w:cs="Times New Roman"/>
          <w:bCs/>
        </w:rPr>
        <w:t xml:space="preserve">pronunciados </w:t>
      </w:r>
      <w:r w:rsidRPr="009C0164">
        <w:rPr>
          <w:rFonts w:ascii="Times New Roman" w:hAnsi="Times New Roman" w:cs="Times New Roman"/>
          <w:bCs/>
        </w:rPr>
        <w:t>nos municípios de</w:t>
      </w:r>
      <w:r w:rsidR="002404C0" w:rsidRPr="009C0164">
        <w:rPr>
          <w:rFonts w:ascii="Times New Roman" w:hAnsi="Times New Roman" w:cs="Times New Roman"/>
          <w:bCs/>
        </w:rPr>
        <w:t xml:space="preserve"> Arroio do Meio, Ivoti, Panambi, Porto Alegre, Garibaldi, Teutônia, Igrejinha, Santa Maria, Eldorado do Sul e Gramado </w:t>
      </w:r>
      <w:r w:rsidRPr="009C0164">
        <w:rPr>
          <w:rFonts w:ascii="Times New Roman" w:hAnsi="Times New Roman" w:cs="Times New Roman"/>
          <w:bCs/>
        </w:rPr>
        <w:t>(Figura 3).</w:t>
      </w:r>
    </w:p>
    <w:p w:rsidR="002404C0" w:rsidRPr="009C0164" w:rsidRDefault="00794AE9"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Assinala-se que o</w:t>
      </w:r>
      <w:r w:rsidR="002404C0" w:rsidRPr="009C0164">
        <w:rPr>
          <w:rFonts w:ascii="Times New Roman" w:hAnsi="Times New Roman" w:cs="Times New Roman"/>
          <w:bCs/>
        </w:rPr>
        <w:t xml:space="preserve">s percentuais municipais de lixo queimado ou enterrado </w:t>
      </w:r>
      <w:r w:rsidRPr="009C0164">
        <w:rPr>
          <w:rFonts w:ascii="Times New Roman" w:hAnsi="Times New Roman" w:cs="Times New Roman"/>
          <w:bCs/>
        </w:rPr>
        <w:t xml:space="preserve">oscilaram entre </w:t>
      </w:r>
      <w:r w:rsidR="002404C0" w:rsidRPr="009C0164">
        <w:rPr>
          <w:rFonts w:ascii="Times New Roman" w:hAnsi="Times New Roman" w:cs="Times New Roman"/>
          <w:bCs/>
        </w:rPr>
        <w:t>0 a 76%, com os índices mais elevados nos municípios de Boa Vista do Incra, Boa Vista do Cadeado, Arroio do Padre, Rolador, Ubiretama, Vitória das Missões, Barra do Rio Azul, Tunas, Sete de Setembro e Vila Lângaro (Figura 3).</w:t>
      </w:r>
    </w:p>
    <w:p w:rsidR="002404C0" w:rsidRPr="009C0164" w:rsidRDefault="00CE01FF"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Salienta-se que, ao que tange a destinação de</w:t>
      </w:r>
      <w:r w:rsidR="000D0F21" w:rsidRPr="009C0164">
        <w:rPr>
          <w:rFonts w:ascii="Times New Roman" w:hAnsi="Times New Roman" w:cs="Times New Roman"/>
          <w:bCs/>
        </w:rPr>
        <w:t xml:space="preserve"> lixo a céu aberto</w:t>
      </w:r>
      <w:r w:rsidRPr="009C0164">
        <w:rPr>
          <w:rFonts w:ascii="Times New Roman" w:hAnsi="Times New Roman" w:cs="Times New Roman"/>
          <w:bCs/>
        </w:rPr>
        <w:t xml:space="preserve">, os percentuais municipais </w:t>
      </w:r>
      <w:r w:rsidR="000D0F21" w:rsidRPr="009C0164">
        <w:rPr>
          <w:rFonts w:ascii="Times New Roman" w:hAnsi="Times New Roman" w:cs="Times New Roman"/>
          <w:bCs/>
        </w:rPr>
        <w:t xml:space="preserve">variaram de 0 a 16%, com os índices mais </w:t>
      </w:r>
      <w:r w:rsidRPr="009C0164">
        <w:rPr>
          <w:rFonts w:ascii="Times New Roman" w:hAnsi="Times New Roman" w:cs="Times New Roman"/>
          <w:bCs/>
        </w:rPr>
        <w:t xml:space="preserve">exorbitantes </w:t>
      </w:r>
      <w:r w:rsidR="000D0F21" w:rsidRPr="009C0164">
        <w:rPr>
          <w:rFonts w:ascii="Times New Roman" w:hAnsi="Times New Roman" w:cs="Times New Roman"/>
          <w:bCs/>
        </w:rPr>
        <w:t xml:space="preserve">nos municípios de </w:t>
      </w:r>
      <w:r w:rsidR="002404C0" w:rsidRPr="009C0164">
        <w:rPr>
          <w:rFonts w:ascii="Times New Roman" w:hAnsi="Times New Roman" w:cs="Times New Roman"/>
          <w:bCs/>
        </w:rPr>
        <w:t>Segredo</w:t>
      </w:r>
      <w:r w:rsidR="000D0F21" w:rsidRPr="009C0164">
        <w:rPr>
          <w:rFonts w:ascii="Times New Roman" w:hAnsi="Times New Roman" w:cs="Times New Roman"/>
          <w:bCs/>
        </w:rPr>
        <w:t xml:space="preserve">, </w:t>
      </w:r>
      <w:r w:rsidR="002404C0" w:rsidRPr="009C0164">
        <w:rPr>
          <w:rFonts w:ascii="Times New Roman" w:hAnsi="Times New Roman" w:cs="Times New Roman"/>
          <w:bCs/>
        </w:rPr>
        <w:t>Travesseiro</w:t>
      </w:r>
      <w:r w:rsidR="000D0F21" w:rsidRPr="009C0164">
        <w:rPr>
          <w:rFonts w:ascii="Times New Roman" w:hAnsi="Times New Roman" w:cs="Times New Roman"/>
          <w:bCs/>
        </w:rPr>
        <w:t xml:space="preserve">, </w:t>
      </w:r>
      <w:r w:rsidR="002404C0" w:rsidRPr="009C0164">
        <w:rPr>
          <w:rFonts w:ascii="Times New Roman" w:hAnsi="Times New Roman" w:cs="Times New Roman"/>
          <w:bCs/>
        </w:rPr>
        <w:t>Vanini</w:t>
      </w:r>
      <w:r w:rsidR="000D0F21" w:rsidRPr="009C0164">
        <w:rPr>
          <w:rFonts w:ascii="Times New Roman" w:hAnsi="Times New Roman" w:cs="Times New Roman"/>
          <w:bCs/>
        </w:rPr>
        <w:t xml:space="preserve">, </w:t>
      </w:r>
      <w:r w:rsidR="002404C0" w:rsidRPr="009C0164">
        <w:rPr>
          <w:rFonts w:ascii="Times New Roman" w:hAnsi="Times New Roman" w:cs="Times New Roman"/>
          <w:bCs/>
        </w:rPr>
        <w:t>Liberato Salzano</w:t>
      </w:r>
      <w:r w:rsidR="000D0F21" w:rsidRPr="009C0164">
        <w:rPr>
          <w:rFonts w:ascii="Times New Roman" w:hAnsi="Times New Roman" w:cs="Times New Roman"/>
          <w:bCs/>
        </w:rPr>
        <w:t xml:space="preserve">, </w:t>
      </w:r>
      <w:r w:rsidR="002404C0" w:rsidRPr="009C0164">
        <w:rPr>
          <w:rFonts w:ascii="Times New Roman" w:hAnsi="Times New Roman" w:cs="Times New Roman"/>
          <w:bCs/>
        </w:rPr>
        <w:t>Carlos Gomes</w:t>
      </w:r>
      <w:r w:rsidR="000D0F21" w:rsidRPr="009C0164">
        <w:rPr>
          <w:rFonts w:ascii="Times New Roman" w:hAnsi="Times New Roman" w:cs="Times New Roman"/>
          <w:bCs/>
        </w:rPr>
        <w:t xml:space="preserve">, </w:t>
      </w:r>
      <w:r w:rsidR="002404C0" w:rsidRPr="009C0164">
        <w:rPr>
          <w:rFonts w:ascii="Times New Roman" w:hAnsi="Times New Roman" w:cs="Times New Roman"/>
          <w:bCs/>
        </w:rPr>
        <w:t>São José do Herval</w:t>
      </w:r>
      <w:r w:rsidR="000D0F21" w:rsidRPr="009C0164">
        <w:rPr>
          <w:rFonts w:ascii="Times New Roman" w:hAnsi="Times New Roman" w:cs="Times New Roman"/>
          <w:bCs/>
        </w:rPr>
        <w:t xml:space="preserve">, </w:t>
      </w:r>
      <w:r w:rsidR="002404C0" w:rsidRPr="009C0164">
        <w:rPr>
          <w:rFonts w:ascii="Times New Roman" w:hAnsi="Times New Roman" w:cs="Times New Roman"/>
          <w:bCs/>
        </w:rPr>
        <w:t>São José dos Ausentes</w:t>
      </w:r>
      <w:r w:rsidR="000D0F21" w:rsidRPr="009C0164">
        <w:rPr>
          <w:rFonts w:ascii="Times New Roman" w:hAnsi="Times New Roman" w:cs="Times New Roman"/>
          <w:bCs/>
        </w:rPr>
        <w:t xml:space="preserve">, </w:t>
      </w:r>
      <w:r w:rsidR="002404C0" w:rsidRPr="009C0164">
        <w:rPr>
          <w:rFonts w:ascii="Times New Roman" w:hAnsi="Times New Roman" w:cs="Times New Roman"/>
          <w:bCs/>
        </w:rPr>
        <w:t>Progresso</w:t>
      </w:r>
      <w:r w:rsidR="000D0F21" w:rsidRPr="009C0164">
        <w:rPr>
          <w:rFonts w:ascii="Times New Roman" w:hAnsi="Times New Roman" w:cs="Times New Roman"/>
          <w:bCs/>
        </w:rPr>
        <w:t xml:space="preserve">, </w:t>
      </w:r>
      <w:r w:rsidR="002404C0" w:rsidRPr="009C0164">
        <w:rPr>
          <w:rFonts w:ascii="Times New Roman" w:hAnsi="Times New Roman" w:cs="Times New Roman"/>
          <w:bCs/>
        </w:rPr>
        <w:t>Camaquã</w:t>
      </w:r>
      <w:r w:rsidR="000D0F21" w:rsidRPr="009C0164">
        <w:rPr>
          <w:rFonts w:ascii="Times New Roman" w:hAnsi="Times New Roman" w:cs="Times New Roman"/>
          <w:bCs/>
        </w:rPr>
        <w:t xml:space="preserve"> e </w:t>
      </w:r>
      <w:r w:rsidR="002404C0" w:rsidRPr="009C0164">
        <w:rPr>
          <w:rFonts w:ascii="Times New Roman" w:hAnsi="Times New Roman" w:cs="Times New Roman"/>
          <w:bCs/>
        </w:rPr>
        <w:t>Gramado Xavier</w:t>
      </w:r>
      <w:r w:rsidR="00DC522D" w:rsidRPr="009C0164">
        <w:rPr>
          <w:rFonts w:ascii="Times New Roman" w:hAnsi="Times New Roman" w:cs="Times New Roman"/>
          <w:bCs/>
        </w:rPr>
        <w:t xml:space="preserve"> (Figura 3).</w:t>
      </w:r>
    </w:p>
    <w:p w:rsidR="002B5345" w:rsidRPr="009C0164" w:rsidRDefault="002B5345"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rPr>
        <w:t>Entende-se que os recursos hídricos do planeta estão cada vez mais propenso</w:t>
      </w:r>
      <w:r w:rsidR="001C4998">
        <w:rPr>
          <w:rFonts w:ascii="Times New Roman" w:hAnsi="Times New Roman" w:cs="Times New Roman"/>
        </w:rPr>
        <w:t>s à contaminação fisioquímica e/</w:t>
      </w:r>
      <w:r w:rsidRPr="009C0164">
        <w:rPr>
          <w:rFonts w:ascii="Times New Roman" w:hAnsi="Times New Roman" w:cs="Times New Roman"/>
        </w:rPr>
        <w:t>ou biológica, pertinente ao avanço da atividade antrópica, o crescimento demográfico des</w:t>
      </w:r>
      <w:r w:rsidR="001C4998">
        <w:rPr>
          <w:rFonts w:ascii="Times New Roman" w:hAnsi="Times New Roman" w:cs="Times New Roman"/>
        </w:rPr>
        <w:t>ordenado, à poluição e a negligê</w:t>
      </w:r>
      <w:r w:rsidRPr="009C0164">
        <w:rPr>
          <w:rFonts w:ascii="Times New Roman" w:hAnsi="Times New Roman" w:cs="Times New Roman"/>
        </w:rPr>
        <w:t>ncia no cumprimento de medidas e de implementação das políticas públicas relacionadas.</w:t>
      </w:r>
    </w:p>
    <w:p w:rsidR="002B5345" w:rsidRPr="009C0164" w:rsidRDefault="002B5345"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rPr>
        <w:t xml:space="preserve">Os processos de descontaminação de fluentes caracterizam-se alternativas, para </w:t>
      </w:r>
      <w:r w:rsidR="00547EB3">
        <w:rPr>
          <w:rFonts w:ascii="Times New Roman" w:hAnsi="Times New Roman" w:cs="Times New Roman"/>
        </w:rPr>
        <w:t xml:space="preserve">a </w:t>
      </w:r>
      <w:r w:rsidRPr="009C0164">
        <w:rPr>
          <w:rFonts w:ascii="Times New Roman" w:hAnsi="Times New Roman" w:cs="Times New Roman"/>
        </w:rPr>
        <w:t>problemática emergente. Pesquisas estão sendo desenvolvidas a fim de propor novos processos de recuperação dos recursos contaminados e proteção dos demais (Sánchez et al, 2011a, Sánchez</w:t>
      </w:r>
      <w:r w:rsidR="001120E8">
        <w:rPr>
          <w:rFonts w:ascii="Times New Roman" w:hAnsi="Times New Roman" w:cs="Times New Roman"/>
        </w:rPr>
        <w:t xml:space="preserve"> et al, 2011b), embora considere</w:t>
      </w:r>
      <w:r w:rsidRPr="009C0164">
        <w:rPr>
          <w:rFonts w:ascii="Times New Roman" w:hAnsi="Times New Roman" w:cs="Times New Roman"/>
        </w:rPr>
        <w:t>-se que a descontaminação deve ser o último recurso aplicado, visando antes de tudo a preservação ambiental.</w:t>
      </w:r>
    </w:p>
    <w:p w:rsidR="00301A05" w:rsidRPr="009C0164" w:rsidRDefault="002B5345"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Indica</w:t>
      </w:r>
      <w:r w:rsidR="008161C6">
        <w:rPr>
          <w:rFonts w:ascii="Times New Roman" w:hAnsi="Times New Roman" w:cs="Times New Roman"/>
          <w:bCs/>
        </w:rPr>
        <w:t>m</w:t>
      </w:r>
      <w:r w:rsidRPr="009C0164">
        <w:rPr>
          <w:rFonts w:ascii="Times New Roman" w:hAnsi="Times New Roman" w:cs="Times New Roman"/>
          <w:bCs/>
        </w:rPr>
        <w:t>-se que o</w:t>
      </w:r>
      <w:r w:rsidR="00301A05" w:rsidRPr="009C0164">
        <w:rPr>
          <w:rFonts w:ascii="Times New Roman" w:hAnsi="Times New Roman" w:cs="Times New Roman"/>
          <w:bCs/>
        </w:rPr>
        <w:t>s percentuais municipais de abastecimento de água pela rede geral variam de 0 a 100%, com os índices mais elevados nos municípios de Engenho Velho, Porto Alegre, Eldorado do Sul, Salvador das Missões,</w:t>
      </w:r>
      <w:r w:rsidR="001C4998">
        <w:rPr>
          <w:rFonts w:ascii="Times New Roman" w:hAnsi="Times New Roman" w:cs="Times New Roman"/>
          <w:bCs/>
        </w:rPr>
        <w:t xml:space="preserve"> Porto Mauá, Ipiranga do Sul, Pâ</w:t>
      </w:r>
      <w:r w:rsidR="00301A05" w:rsidRPr="009C0164">
        <w:rPr>
          <w:rFonts w:ascii="Times New Roman" w:hAnsi="Times New Roman" w:cs="Times New Roman"/>
          <w:bCs/>
        </w:rPr>
        <w:t>ntano Grande, Quaraí, Ivoti e Bagé (Figura 4).</w:t>
      </w:r>
    </w:p>
    <w:p w:rsidR="00055268" w:rsidRPr="009C0164" w:rsidRDefault="002B5345"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Destaca-se que o</w:t>
      </w:r>
      <w:r w:rsidR="00055268" w:rsidRPr="009C0164">
        <w:rPr>
          <w:rFonts w:ascii="Times New Roman" w:hAnsi="Times New Roman" w:cs="Times New Roman"/>
          <w:bCs/>
        </w:rPr>
        <w:t xml:space="preserve">s percentuais municipais de abastecimento de água por poço ou nascente </w:t>
      </w:r>
      <w:r w:rsidRPr="009C0164">
        <w:rPr>
          <w:rFonts w:ascii="Times New Roman" w:hAnsi="Times New Roman" w:cs="Times New Roman"/>
          <w:bCs/>
        </w:rPr>
        <w:t>oscilaram entre</w:t>
      </w:r>
      <w:r w:rsidR="00055268" w:rsidRPr="009C0164">
        <w:rPr>
          <w:rFonts w:ascii="Times New Roman" w:hAnsi="Times New Roman" w:cs="Times New Roman"/>
          <w:bCs/>
        </w:rPr>
        <w:t xml:space="preserve"> 0 a 95%, com os índices mais </w:t>
      </w:r>
      <w:r w:rsidRPr="009C0164">
        <w:rPr>
          <w:rFonts w:ascii="Times New Roman" w:hAnsi="Times New Roman" w:cs="Times New Roman"/>
          <w:bCs/>
        </w:rPr>
        <w:lastRenderedPageBreak/>
        <w:t xml:space="preserve">expressivos </w:t>
      </w:r>
      <w:r w:rsidR="00055268" w:rsidRPr="009C0164">
        <w:rPr>
          <w:rFonts w:ascii="Times New Roman" w:hAnsi="Times New Roman" w:cs="Times New Roman"/>
          <w:bCs/>
        </w:rPr>
        <w:t>nos municípios de Nova Hartz, Barros Cassal, Araricá, Arroio do Padre, Nova Ramada, Água Santa, Cerro Grande do Sul, Sinimbu, Vanini e Riozinho (Figura 4).</w:t>
      </w:r>
    </w:p>
    <w:p w:rsidR="00485126" w:rsidRPr="009C0164" w:rsidRDefault="002B5345"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Evidencia-se que, tratando-se das formas de</w:t>
      </w:r>
      <w:r w:rsidR="00055268" w:rsidRPr="009C0164">
        <w:rPr>
          <w:rFonts w:ascii="Times New Roman" w:hAnsi="Times New Roman" w:cs="Times New Roman"/>
          <w:bCs/>
        </w:rPr>
        <w:t xml:space="preserve"> abastecimento de água por meios não convencionais</w:t>
      </w:r>
      <w:r w:rsidRPr="009C0164">
        <w:rPr>
          <w:rFonts w:ascii="Times New Roman" w:hAnsi="Times New Roman" w:cs="Times New Roman"/>
          <w:bCs/>
        </w:rPr>
        <w:t xml:space="preserve">, os percentuais municipais transcorrem entre </w:t>
      </w:r>
      <w:r w:rsidR="00055268" w:rsidRPr="009C0164">
        <w:rPr>
          <w:rFonts w:ascii="Times New Roman" w:hAnsi="Times New Roman" w:cs="Times New Roman"/>
          <w:bCs/>
        </w:rPr>
        <w:t xml:space="preserve">0 a 37%, </w:t>
      </w:r>
      <w:r w:rsidRPr="009C0164">
        <w:rPr>
          <w:rFonts w:ascii="Times New Roman" w:hAnsi="Times New Roman" w:cs="Times New Roman"/>
          <w:bCs/>
        </w:rPr>
        <w:t xml:space="preserve">indicando valores mais acentuados </w:t>
      </w:r>
      <w:r w:rsidR="00055268" w:rsidRPr="009C0164">
        <w:rPr>
          <w:rFonts w:ascii="Times New Roman" w:hAnsi="Times New Roman" w:cs="Times New Roman"/>
          <w:bCs/>
        </w:rPr>
        <w:t>nos municípios de Casca, Lagoa dos Três Cantos, Liberato Salzano, Salto do Jacuí, Restinga Seca, Passo do Sobrado, Travesseiro, Severiano de Almeida, São Sepé e Itapuca</w:t>
      </w:r>
      <w:r w:rsidR="00485126" w:rsidRPr="009C0164">
        <w:rPr>
          <w:rFonts w:ascii="Times New Roman" w:hAnsi="Times New Roman" w:cs="Times New Roman"/>
          <w:bCs/>
        </w:rPr>
        <w:t xml:space="preserve"> (Figura 4).</w:t>
      </w:r>
    </w:p>
    <w:p w:rsidR="00D83234" w:rsidRPr="009C0164" w:rsidRDefault="002C1F9F" w:rsidP="009C0164">
      <w:pPr>
        <w:autoSpaceDE w:val="0"/>
        <w:autoSpaceDN w:val="0"/>
        <w:adjustRightInd w:val="0"/>
        <w:spacing w:before="120" w:after="120" w:line="240" w:lineRule="auto"/>
        <w:ind w:firstLine="709"/>
        <w:jc w:val="both"/>
        <w:rPr>
          <w:rFonts w:ascii="Times New Roman" w:hAnsi="Times New Roman" w:cs="Times New Roman"/>
          <w:bCs/>
        </w:rPr>
      </w:pPr>
      <w:r>
        <w:rPr>
          <w:rFonts w:ascii="Times New Roman" w:hAnsi="Times New Roman" w:cs="Times New Roman"/>
          <w:bCs/>
        </w:rPr>
        <w:t xml:space="preserve">Verificou-se, </w:t>
      </w:r>
      <w:r w:rsidRPr="009C0164">
        <w:rPr>
          <w:rFonts w:ascii="Times New Roman" w:hAnsi="Times New Roman" w:cs="Times New Roman"/>
          <w:bCs/>
        </w:rPr>
        <w:t>em um estudo realizado no município de Caruaru-PE (</w:t>
      </w:r>
      <w:r w:rsidRPr="009C0164">
        <w:rPr>
          <w:rFonts w:ascii="Times New Roman" w:hAnsi="Times New Roman" w:cs="Times New Roman"/>
        </w:rPr>
        <w:t>Mendonça, 2017</w:t>
      </w:r>
      <w:r w:rsidRPr="009C0164">
        <w:rPr>
          <w:rFonts w:ascii="Times New Roman" w:hAnsi="Times New Roman" w:cs="Times New Roman"/>
          <w:bCs/>
        </w:rPr>
        <w:t>), que a forma de comérci</w:t>
      </w:r>
      <w:r>
        <w:rPr>
          <w:rFonts w:ascii="Times New Roman" w:hAnsi="Times New Roman" w:cs="Times New Roman"/>
          <w:bCs/>
        </w:rPr>
        <w:t>o das águas para consumo humano realizada por caminhão-pipa foi considerada</w:t>
      </w:r>
      <w:r w:rsidRPr="009C0164">
        <w:rPr>
          <w:rFonts w:ascii="Times New Roman" w:hAnsi="Times New Roman" w:cs="Times New Roman"/>
          <w:bCs/>
        </w:rPr>
        <w:t xml:space="preserve"> imprópria, devido ao baixo índice de potabilidade e</w:t>
      </w:r>
      <w:r>
        <w:rPr>
          <w:rFonts w:ascii="Times New Roman" w:hAnsi="Times New Roman" w:cs="Times New Roman"/>
          <w:bCs/>
        </w:rPr>
        <w:t>,</w:t>
      </w:r>
      <w:r w:rsidRPr="009C0164">
        <w:rPr>
          <w:rFonts w:ascii="Times New Roman" w:hAnsi="Times New Roman" w:cs="Times New Roman"/>
          <w:bCs/>
        </w:rPr>
        <w:t xml:space="preserve"> alto risco de contaminação por patógenos detectados nas amostras submetidas à análise bacteriológica, apresentando quantitativo representativo de coliformes fecais, </w:t>
      </w:r>
      <w:r w:rsidRPr="001C4998">
        <w:rPr>
          <w:rFonts w:ascii="Times New Roman" w:hAnsi="Times New Roman" w:cs="Times New Roman"/>
          <w:bCs/>
          <w:i/>
        </w:rPr>
        <w:t>Pseudomonas</w:t>
      </w:r>
      <w:r>
        <w:rPr>
          <w:rFonts w:ascii="Times New Roman" w:hAnsi="Times New Roman" w:cs="Times New Roman"/>
          <w:bCs/>
          <w:i/>
        </w:rPr>
        <w:t xml:space="preserve"> </w:t>
      </w:r>
      <w:r w:rsidRPr="001C4998">
        <w:rPr>
          <w:rFonts w:ascii="Times New Roman" w:hAnsi="Times New Roman" w:cs="Times New Roman"/>
          <w:bCs/>
          <w:i/>
        </w:rPr>
        <w:t>aeroginosa</w:t>
      </w:r>
      <w:r w:rsidRPr="009C0164">
        <w:rPr>
          <w:rFonts w:ascii="Times New Roman" w:hAnsi="Times New Roman" w:cs="Times New Roman"/>
          <w:bCs/>
        </w:rPr>
        <w:t xml:space="preserve"> e bactérias heterotróficas.</w:t>
      </w:r>
    </w:p>
    <w:p w:rsidR="00DC5806" w:rsidRPr="009C0164" w:rsidRDefault="006870DF"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Aponta-se que o</w:t>
      </w:r>
      <w:r w:rsidR="001B0EC9" w:rsidRPr="009C0164">
        <w:rPr>
          <w:rFonts w:ascii="Times New Roman" w:hAnsi="Times New Roman" w:cs="Times New Roman"/>
          <w:bCs/>
        </w:rPr>
        <w:t xml:space="preserve">s percentuais municipais de domicílios que utilizam água filtrada </w:t>
      </w:r>
      <w:r w:rsidRPr="009C0164">
        <w:rPr>
          <w:rFonts w:ascii="Times New Roman" w:hAnsi="Times New Roman" w:cs="Times New Roman"/>
          <w:bCs/>
        </w:rPr>
        <w:t>oscilam entre</w:t>
      </w:r>
      <w:r w:rsidR="001B0EC9" w:rsidRPr="009C0164">
        <w:rPr>
          <w:rFonts w:ascii="Times New Roman" w:hAnsi="Times New Roman" w:cs="Times New Roman"/>
          <w:bCs/>
        </w:rPr>
        <w:t xml:space="preserve"> 0 a 35%, com os índices mais elevados nos municípios de Bagé, Campina das Missões, Ivoti, Garibaldi, Canoas, Rio Grande, Santa Cruz do Sul, Esteio, Anta Gorda e Vista Alegre (Figura 5).</w:t>
      </w:r>
      <w:r w:rsidR="00626CE4" w:rsidRPr="009C0164">
        <w:rPr>
          <w:rFonts w:ascii="Times New Roman" w:hAnsi="Times New Roman" w:cs="Times New Roman"/>
          <w:bCs/>
        </w:rPr>
        <w:t xml:space="preserve"> Em relação à água fervida, os percentuais municipais </w:t>
      </w:r>
      <w:r w:rsidR="00DC5806" w:rsidRPr="009C0164">
        <w:rPr>
          <w:rFonts w:ascii="Times New Roman" w:hAnsi="Times New Roman" w:cs="Times New Roman"/>
          <w:bCs/>
        </w:rPr>
        <w:t>varia</w:t>
      </w:r>
      <w:r w:rsidR="00626CE4" w:rsidRPr="009C0164">
        <w:rPr>
          <w:rFonts w:ascii="Times New Roman" w:hAnsi="Times New Roman" w:cs="Times New Roman"/>
          <w:bCs/>
        </w:rPr>
        <w:t xml:space="preserve">m </w:t>
      </w:r>
      <w:r w:rsidR="00DC5806" w:rsidRPr="009C0164">
        <w:rPr>
          <w:rFonts w:ascii="Times New Roman" w:hAnsi="Times New Roman" w:cs="Times New Roman"/>
          <w:bCs/>
        </w:rPr>
        <w:t>de 0 a 7%, com os índices mais elevados nos municípios de</w:t>
      </w:r>
      <w:r w:rsidR="009A15B8" w:rsidRPr="009C0164">
        <w:rPr>
          <w:rFonts w:ascii="Times New Roman" w:hAnsi="Times New Roman" w:cs="Times New Roman"/>
          <w:bCs/>
        </w:rPr>
        <w:t xml:space="preserve"> Vista Alegre, Gramado, São José do Herval, Pelotas, Rio Grande, Bagé, Canela, Três Coroas, Três Arroios e Erechim </w:t>
      </w:r>
      <w:r w:rsidR="00DC5806" w:rsidRPr="009C0164">
        <w:rPr>
          <w:rFonts w:ascii="Times New Roman" w:hAnsi="Times New Roman" w:cs="Times New Roman"/>
          <w:bCs/>
        </w:rPr>
        <w:t>(Figura 5).</w:t>
      </w:r>
    </w:p>
    <w:p w:rsidR="00611925" w:rsidRDefault="00FA23A0"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Estima-se que a</w:t>
      </w:r>
      <w:r w:rsidR="00CA0E05">
        <w:rPr>
          <w:rFonts w:ascii="Times New Roman" w:hAnsi="Times New Roman" w:cs="Times New Roman"/>
          <w:bCs/>
        </w:rPr>
        <w:t xml:space="preserve"> poluição dos recursos hídricos </w:t>
      </w:r>
      <w:r w:rsidRPr="009C0164">
        <w:rPr>
          <w:rFonts w:ascii="Times New Roman" w:hAnsi="Times New Roman" w:cs="Times New Roman"/>
          <w:bCs/>
        </w:rPr>
        <w:t>esteja relacionada à mortalidade infantil de milhões de crianças a cada ano no mundo, justificando a necessidade de ações de intervenção, como</w:t>
      </w:r>
      <w:r w:rsidR="001C4998">
        <w:rPr>
          <w:rFonts w:ascii="Times New Roman" w:hAnsi="Times New Roman" w:cs="Times New Roman"/>
          <w:bCs/>
        </w:rPr>
        <w:t>,</w:t>
      </w:r>
      <w:r w:rsidRPr="009C0164">
        <w:rPr>
          <w:rFonts w:ascii="Times New Roman" w:hAnsi="Times New Roman" w:cs="Times New Roman"/>
          <w:bCs/>
        </w:rPr>
        <w:t xml:space="preserve"> por exemplo, os cuidados na filtração e fervura no domicílio, condições adequadas de tratamento, abastecimento e acondicionamento (Rodriguez et al</w:t>
      </w:r>
      <w:r w:rsidR="00916764">
        <w:rPr>
          <w:rFonts w:ascii="Times New Roman" w:hAnsi="Times New Roman" w:cs="Times New Roman"/>
          <w:bCs/>
        </w:rPr>
        <w:t>.</w:t>
      </w:r>
      <w:r w:rsidR="00611925">
        <w:rPr>
          <w:rFonts w:ascii="Times New Roman" w:hAnsi="Times New Roman" w:cs="Times New Roman"/>
          <w:bCs/>
        </w:rPr>
        <w:t>, 2002).</w:t>
      </w:r>
    </w:p>
    <w:p w:rsidR="00FA23A0" w:rsidRPr="009C0164" w:rsidRDefault="005F050E"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Trata-se principalmente das DTHA</w:t>
      </w:r>
      <w:r w:rsidR="00272214">
        <w:rPr>
          <w:rStyle w:val="Refdenotaderodap"/>
          <w:rFonts w:ascii="Times New Roman" w:hAnsi="Times New Roman" w:cs="Times New Roman"/>
          <w:bCs/>
        </w:rPr>
        <w:footnoteReference w:id="12"/>
      </w:r>
      <w:r w:rsidRPr="009C0164">
        <w:rPr>
          <w:rFonts w:ascii="Times New Roman" w:hAnsi="Times New Roman" w:cs="Times New Roman"/>
          <w:bCs/>
        </w:rPr>
        <w:t xml:space="preserve">, associadas a transmissão de microorganismos, </w:t>
      </w:r>
      <w:r w:rsidRPr="009C0164">
        <w:rPr>
          <w:rFonts w:ascii="Times New Roman" w:hAnsi="Times New Roman" w:cs="Times New Roman"/>
          <w:bCs/>
        </w:rPr>
        <w:t>devido ao inadequado tratamento de água, contaminação no sistema de a</w:t>
      </w:r>
      <w:r>
        <w:rPr>
          <w:rFonts w:ascii="Times New Roman" w:hAnsi="Times New Roman" w:cs="Times New Roman"/>
          <w:bCs/>
        </w:rPr>
        <w:t xml:space="preserve">bastecimento/acondicionamento, </w:t>
      </w:r>
      <w:r w:rsidRPr="009C0164">
        <w:rPr>
          <w:rFonts w:ascii="Times New Roman" w:hAnsi="Times New Roman" w:cs="Times New Roman"/>
          <w:bCs/>
        </w:rPr>
        <w:t>mes</w:t>
      </w:r>
      <w:r>
        <w:rPr>
          <w:rFonts w:ascii="Times New Roman" w:hAnsi="Times New Roman" w:cs="Times New Roman"/>
          <w:bCs/>
        </w:rPr>
        <w:t>mo após a água ter sido tratada</w:t>
      </w:r>
      <w:r w:rsidRPr="009C0164">
        <w:rPr>
          <w:rFonts w:ascii="Times New Roman" w:hAnsi="Times New Roman" w:cs="Times New Roman"/>
          <w:bCs/>
        </w:rPr>
        <w:t xml:space="preserve"> e</w:t>
      </w:r>
      <w:r>
        <w:rPr>
          <w:rFonts w:ascii="Times New Roman" w:hAnsi="Times New Roman" w:cs="Times New Roman"/>
          <w:bCs/>
        </w:rPr>
        <w:t xml:space="preserve"> com os cuidados no domicílio (</w:t>
      </w:r>
      <w:r w:rsidR="00870FCC" w:rsidRPr="00870FCC">
        <w:rPr>
          <w:rFonts w:ascii="Times New Roman" w:hAnsi="Times New Roman" w:cs="Times New Roman"/>
          <w:bCs/>
        </w:rPr>
        <w:t>Mendonça</w:t>
      </w:r>
      <w:r>
        <w:rPr>
          <w:rFonts w:ascii="Times New Roman" w:hAnsi="Times New Roman" w:cs="Times New Roman"/>
          <w:bCs/>
        </w:rPr>
        <w:t xml:space="preserve">et al., </w:t>
      </w:r>
      <w:r w:rsidRPr="009C0164">
        <w:rPr>
          <w:rFonts w:ascii="Times New Roman" w:hAnsi="Times New Roman" w:cs="Times New Roman"/>
          <w:bCs/>
        </w:rPr>
        <w:t>2017).</w:t>
      </w:r>
    </w:p>
    <w:p w:rsidR="003F20F8" w:rsidRPr="009C0164" w:rsidRDefault="003F20F8"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Os percentuais municipais de domicílios que utilizam água clorada variaram de 0 a 99%, com os índices mais elevados nos municípios de</w:t>
      </w:r>
      <w:r w:rsidR="00405EA6" w:rsidRPr="009C0164">
        <w:rPr>
          <w:rFonts w:ascii="Times New Roman" w:hAnsi="Times New Roman" w:cs="Times New Roman"/>
          <w:bCs/>
        </w:rPr>
        <w:t xml:space="preserve"> Ipiranga do Sul, Carlos Barbosa, Engenho Velho, São José do Hortêncio, Minas do Leão, Ponte Preta, Nova Alvorada, Centenário, Ernestina e Vale Real</w:t>
      </w:r>
      <w:r w:rsidRPr="009C0164">
        <w:rPr>
          <w:rFonts w:ascii="Times New Roman" w:hAnsi="Times New Roman" w:cs="Times New Roman"/>
          <w:bCs/>
        </w:rPr>
        <w:t>(Figura 5).</w:t>
      </w:r>
    </w:p>
    <w:p w:rsidR="001B0EC9" w:rsidRPr="009C0164" w:rsidRDefault="002F6D5D"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Avalia-se que o</w:t>
      </w:r>
      <w:r w:rsidR="00E9501D" w:rsidRPr="009C0164">
        <w:rPr>
          <w:rFonts w:ascii="Times New Roman" w:hAnsi="Times New Roman" w:cs="Times New Roman"/>
          <w:bCs/>
        </w:rPr>
        <w:t xml:space="preserve">s percentuais municipais de domicílios que utilizam água </w:t>
      </w:r>
      <w:r w:rsidRPr="009C0164">
        <w:rPr>
          <w:rFonts w:ascii="Times New Roman" w:hAnsi="Times New Roman" w:cs="Times New Roman"/>
          <w:bCs/>
        </w:rPr>
        <w:t xml:space="preserve">sem tratamento apresentam-se entre </w:t>
      </w:r>
      <w:r w:rsidR="00E9501D" w:rsidRPr="009C0164">
        <w:rPr>
          <w:rFonts w:ascii="Times New Roman" w:hAnsi="Times New Roman" w:cs="Times New Roman"/>
          <w:bCs/>
        </w:rPr>
        <w:t>0 a 100%,</w:t>
      </w:r>
      <w:r w:rsidRPr="009C0164">
        <w:rPr>
          <w:rFonts w:ascii="Times New Roman" w:hAnsi="Times New Roman" w:cs="Times New Roman"/>
          <w:bCs/>
        </w:rPr>
        <w:t xml:space="preserve"> do qual o valor máximo apresenta-se enquanto uma grande preocupação de saúde pública. Caracterizam-se os municípios com percentuais mais acentuados </w:t>
      </w:r>
      <w:r w:rsidR="00E9501D" w:rsidRPr="009C0164">
        <w:rPr>
          <w:rFonts w:ascii="Times New Roman" w:hAnsi="Times New Roman" w:cs="Times New Roman"/>
          <w:bCs/>
        </w:rPr>
        <w:t>Barra Funda, Panambi, Porto Alegre, Roque Gonzales, Augusto Pestana, Araricá, Paulo Bento, Campo Novo, Jaquirana e Independência (Figura 5).</w:t>
      </w:r>
    </w:p>
    <w:p w:rsidR="00D83234" w:rsidRPr="009C0164" w:rsidRDefault="00D83234"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Avaliaram-se amostras de água de bebedouros da Universidade do Estado do Pará, na cidade de Belém-Pará (</w:t>
      </w:r>
      <w:r w:rsidRPr="009C0164">
        <w:rPr>
          <w:rFonts w:ascii="Times New Roman" w:hAnsi="Times New Roman" w:cs="Times New Roman"/>
        </w:rPr>
        <w:t>Mendes et al., 2016</w:t>
      </w:r>
      <w:r w:rsidRPr="009C0164">
        <w:rPr>
          <w:rFonts w:ascii="Times New Roman" w:hAnsi="Times New Roman" w:cs="Times New Roman"/>
          <w:bCs/>
        </w:rPr>
        <w:t xml:space="preserve">), das quais compararam-se os resultados para a substância fósforo, nos B1 do CCNT e campi de Enfermagem, com a Resolução nº 357/05 do CONAMA (CONAMA, </w:t>
      </w:r>
      <w:r w:rsidRPr="009C0164">
        <w:rPr>
          <w:rFonts w:ascii="Times New Roman" w:hAnsi="Times New Roman" w:cs="Times New Roman"/>
        </w:rPr>
        <w:t>2005)</w:t>
      </w:r>
      <w:r w:rsidRPr="009C0164">
        <w:rPr>
          <w:rFonts w:ascii="Times New Roman" w:hAnsi="Times New Roman" w:cs="Times New Roman"/>
          <w:bCs/>
        </w:rPr>
        <w:t xml:space="preserve"> resultando em desacordo nos parâmetros estabelecidos (</w:t>
      </w:r>
      <w:r w:rsidRPr="009C0164">
        <w:rPr>
          <w:rFonts w:ascii="Times New Roman" w:hAnsi="Times New Roman" w:cs="Times New Roman"/>
        </w:rPr>
        <w:t>Mendes et al., 2016</w:t>
      </w:r>
      <w:r w:rsidRPr="009C0164">
        <w:rPr>
          <w:rFonts w:ascii="Times New Roman" w:hAnsi="Times New Roman" w:cs="Times New Roman"/>
          <w:bCs/>
        </w:rPr>
        <w:t>).</w:t>
      </w:r>
    </w:p>
    <w:p w:rsidR="00D83234" w:rsidRPr="009C0164" w:rsidRDefault="00D83234"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bCs/>
        </w:rPr>
        <w:t>Um estudo destaca risco em relação aos níveis de nitrato, amônia e coliformes, em pontos do Aquífero Parecis</w:t>
      </w:r>
      <w:r w:rsidR="0086424A">
        <w:rPr>
          <w:rFonts w:ascii="Times New Roman" w:hAnsi="Times New Roman" w:cs="Times New Roman"/>
          <w:bCs/>
        </w:rPr>
        <w:t xml:space="preserve">, em </w:t>
      </w:r>
      <w:r w:rsidRPr="009C0164">
        <w:rPr>
          <w:rFonts w:ascii="Times New Roman" w:hAnsi="Times New Roman" w:cs="Times New Roman"/>
          <w:bCs/>
        </w:rPr>
        <w:t>Vilhena</w:t>
      </w:r>
      <w:r w:rsidR="0086424A">
        <w:rPr>
          <w:rFonts w:ascii="Times New Roman" w:hAnsi="Times New Roman" w:cs="Times New Roman"/>
          <w:bCs/>
        </w:rPr>
        <w:t xml:space="preserve"> - RO (</w:t>
      </w:r>
      <w:r w:rsidR="0009336B" w:rsidRPr="009C0164">
        <w:rPr>
          <w:rFonts w:ascii="Times New Roman" w:hAnsi="Times New Roman" w:cs="Times New Roman"/>
          <w:bCs/>
        </w:rPr>
        <w:t>Oliveira</w:t>
      </w:r>
      <w:r w:rsidRPr="009C0164">
        <w:rPr>
          <w:rFonts w:ascii="Times New Roman" w:hAnsi="Times New Roman" w:cs="Times New Roman"/>
          <w:bCs/>
        </w:rPr>
        <w:t xml:space="preserve"> et al., 2015), entretanto a maioria dos parâmetros apresento</w:t>
      </w:r>
      <w:r w:rsidR="00A8762F">
        <w:rPr>
          <w:rFonts w:ascii="Times New Roman" w:hAnsi="Times New Roman" w:cs="Times New Roman"/>
          <w:bCs/>
        </w:rPr>
        <w:t>u conformidade com a Portaria n</w:t>
      </w:r>
      <w:r w:rsidRPr="009C0164">
        <w:rPr>
          <w:rFonts w:ascii="Times New Roman" w:hAnsi="Times New Roman" w:cs="Times New Roman"/>
          <w:bCs/>
        </w:rPr>
        <w:t>º 2.914/2011 do Ministério da Saúde (</w:t>
      </w:r>
      <w:r w:rsidRPr="009C0164">
        <w:rPr>
          <w:rFonts w:ascii="Times New Roman" w:hAnsi="Times New Roman" w:cs="Times New Roman"/>
        </w:rPr>
        <w:t>Ministério da Saúde, 2011</w:t>
      </w:r>
      <w:r w:rsidR="00A8391C">
        <w:rPr>
          <w:rFonts w:ascii="Times New Roman" w:hAnsi="Times New Roman" w:cs="Times New Roman"/>
          <w:bCs/>
        </w:rPr>
        <w:t>) e a Resolução n</w:t>
      </w:r>
      <w:r w:rsidRPr="009C0164">
        <w:rPr>
          <w:rFonts w:ascii="Times New Roman" w:hAnsi="Times New Roman" w:cs="Times New Roman"/>
          <w:bCs/>
        </w:rPr>
        <w:t>º 396/2008 do CONAMA (</w:t>
      </w:r>
      <w:r w:rsidRPr="009C0164">
        <w:rPr>
          <w:rFonts w:ascii="Times New Roman" w:hAnsi="Times New Roman" w:cs="Times New Roman"/>
        </w:rPr>
        <w:t>CONAMA, 2008</w:t>
      </w:r>
      <w:r w:rsidRPr="009C0164">
        <w:rPr>
          <w:rFonts w:ascii="Times New Roman" w:hAnsi="Times New Roman" w:cs="Times New Roman"/>
          <w:bCs/>
        </w:rPr>
        <w:t>). Justifica-se a presença dos contaminantes</w:t>
      </w:r>
      <w:r w:rsidR="00EE34D4">
        <w:rPr>
          <w:rFonts w:ascii="Times New Roman" w:hAnsi="Times New Roman" w:cs="Times New Roman"/>
          <w:bCs/>
        </w:rPr>
        <w:t>,</w:t>
      </w:r>
      <w:r w:rsidRPr="009C0164">
        <w:rPr>
          <w:rFonts w:ascii="Times New Roman" w:hAnsi="Times New Roman" w:cs="Times New Roman"/>
          <w:bCs/>
        </w:rPr>
        <w:t xml:space="preserve"> possivelmente</w:t>
      </w:r>
      <w:r w:rsidR="00EE34D4">
        <w:rPr>
          <w:rFonts w:ascii="Times New Roman" w:hAnsi="Times New Roman" w:cs="Times New Roman"/>
          <w:bCs/>
        </w:rPr>
        <w:t>,</w:t>
      </w:r>
      <w:r w:rsidRPr="009C0164">
        <w:rPr>
          <w:rFonts w:ascii="Times New Roman" w:hAnsi="Times New Roman" w:cs="Times New Roman"/>
          <w:bCs/>
        </w:rPr>
        <w:t xml:space="preserve"> pela inadequada construção e instalação, substrato arenoso altamente permeável relacionado as características do solo e pouca profundidade do lençol freático, inexistência de rede de coleta e tratamento adequado de esgoto (</w:t>
      </w:r>
      <w:r w:rsidR="0009336B" w:rsidRPr="009C0164">
        <w:rPr>
          <w:rFonts w:ascii="Times New Roman" w:hAnsi="Times New Roman" w:cs="Times New Roman"/>
          <w:bCs/>
        </w:rPr>
        <w:t>Oliveira</w:t>
      </w:r>
      <w:r w:rsidRPr="009C0164">
        <w:rPr>
          <w:rFonts w:ascii="Times New Roman" w:hAnsi="Times New Roman" w:cs="Times New Roman"/>
          <w:bCs/>
        </w:rPr>
        <w:t xml:space="preserve"> et al., </w:t>
      </w:r>
      <w:r w:rsidRPr="009C0164">
        <w:rPr>
          <w:rFonts w:ascii="Times New Roman" w:hAnsi="Times New Roman" w:cs="Times New Roman"/>
        </w:rPr>
        <w:t>2015).</w:t>
      </w:r>
    </w:p>
    <w:p w:rsidR="00D83234" w:rsidRPr="009C0164" w:rsidRDefault="00D83234"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rPr>
        <w:t xml:space="preserve">O cenário da qualidade da água mostra-se uma preocupação constante ao </w:t>
      </w:r>
      <w:r w:rsidRPr="009C0164">
        <w:rPr>
          <w:rFonts w:ascii="Times New Roman" w:hAnsi="Times New Roman" w:cs="Times New Roman"/>
          <w:bCs/>
        </w:rPr>
        <w:t xml:space="preserve">governo peruano, devido ao incremento </w:t>
      </w:r>
      <w:r w:rsidR="00EE34D4">
        <w:rPr>
          <w:rFonts w:ascii="Times New Roman" w:hAnsi="Times New Roman" w:cs="Times New Roman"/>
          <w:bCs/>
        </w:rPr>
        <w:t xml:space="preserve">progressivo </w:t>
      </w:r>
      <w:r w:rsidRPr="009C0164">
        <w:rPr>
          <w:rFonts w:ascii="Times New Roman" w:hAnsi="Times New Roman" w:cs="Times New Roman"/>
          <w:bCs/>
        </w:rPr>
        <w:t>da populaç</w:t>
      </w:r>
      <w:r w:rsidR="00EE34D4">
        <w:rPr>
          <w:rFonts w:ascii="Times New Roman" w:hAnsi="Times New Roman" w:cs="Times New Roman"/>
          <w:bCs/>
        </w:rPr>
        <w:t>ão e</w:t>
      </w:r>
      <w:r w:rsidRPr="009C0164">
        <w:rPr>
          <w:rFonts w:ascii="Times New Roman" w:hAnsi="Times New Roman" w:cs="Times New Roman"/>
          <w:bCs/>
        </w:rPr>
        <w:t xml:space="preserve">, concomitante a poluição da água com a presença </w:t>
      </w:r>
      <w:r w:rsidRPr="009C0164">
        <w:rPr>
          <w:rFonts w:ascii="Times New Roman" w:hAnsi="Times New Roman" w:cs="Times New Roman"/>
          <w:bCs/>
        </w:rPr>
        <w:lastRenderedPageBreak/>
        <w:t>de microorganismos, poluentes ambientais e metais pesados, apontando para uma acentuada desigualdade na qualidade bacteriológica da água em áreas rurais e em domicílios com extrema pobreza (Tarqui-Mamani et al., 2016).</w:t>
      </w:r>
    </w:p>
    <w:p w:rsidR="00D83234" w:rsidRPr="009C0164" w:rsidRDefault="00D83234"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Tratando-se do estado do Rio Grande do Sul, desenvolveu-se um estudo na bacia do Rio dos Sinos, do qual aponta-se deterioração da qualidade ambiental, possivelmente associado aos impactos procedentes da atenuada industrialização e urbanização. Aplicou-se a avaliação ambiental integrada (AAI), em áreas junto às nascentes de três arroios, utilizando-se de parâmetros físicos, químicos e biológicos. Os resultados indicam que os três sítios amostrais apresentaram águas impróprias para o consumo humano, baixo índice de contaminação por tóxicos (ICT) e características mesotróficas (Kieling-Rubio et al., 2015).</w:t>
      </w:r>
    </w:p>
    <w:p w:rsidR="00D83234" w:rsidRPr="009C0164" w:rsidRDefault="00D83234"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 xml:space="preserve">Outro estudo realizado no Rio Grande do Sul com intuito de </w:t>
      </w:r>
      <w:r w:rsidRPr="009C0164">
        <w:rPr>
          <w:rFonts w:ascii="Times New Roman" w:hAnsi="Times New Roman" w:cs="Times New Roman"/>
        </w:rPr>
        <w:t>investigar a toxicidade da água da Bacia dos Rios Butuí-Icamaquã, na fronteira oeste do estado</w:t>
      </w:r>
      <w:r w:rsidR="00545058">
        <w:rPr>
          <w:rFonts w:ascii="Times New Roman" w:hAnsi="Times New Roman" w:cs="Times New Roman"/>
        </w:rPr>
        <w:t>, m</w:t>
      </w:r>
      <w:r w:rsidRPr="009C0164">
        <w:rPr>
          <w:rFonts w:ascii="Times New Roman" w:hAnsi="Times New Roman" w:cs="Times New Roman"/>
        </w:rPr>
        <w:t>ostrou</w:t>
      </w:r>
      <w:r w:rsidR="00545058">
        <w:rPr>
          <w:rFonts w:ascii="Times New Roman" w:hAnsi="Times New Roman" w:cs="Times New Roman"/>
        </w:rPr>
        <w:t xml:space="preserve"> níveis </w:t>
      </w:r>
      <w:r w:rsidRPr="009C0164">
        <w:rPr>
          <w:rFonts w:ascii="Times New Roman" w:hAnsi="Times New Roman" w:cs="Times New Roman"/>
        </w:rPr>
        <w:t>acima dosconsiderados seguros para o consumo humano</w:t>
      </w:r>
      <w:r w:rsidR="00545058">
        <w:rPr>
          <w:rFonts w:ascii="Times New Roman" w:hAnsi="Times New Roman" w:cs="Times New Roman"/>
        </w:rPr>
        <w:t xml:space="preserve">, no que tange o </w:t>
      </w:r>
      <w:r w:rsidRPr="009C0164">
        <w:rPr>
          <w:rFonts w:ascii="Times New Roman" w:hAnsi="Times New Roman" w:cs="Times New Roman"/>
        </w:rPr>
        <w:t>teor de alumí</w:t>
      </w:r>
      <w:r w:rsidR="00A8762F">
        <w:rPr>
          <w:rFonts w:ascii="Times New Roman" w:hAnsi="Times New Roman" w:cs="Times New Roman"/>
        </w:rPr>
        <w:t xml:space="preserve">nio, </w:t>
      </w:r>
      <w:r w:rsidRPr="009C0164">
        <w:rPr>
          <w:rFonts w:ascii="Times New Roman" w:hAnsi="Times New Roman" w:cs="Times New Roman"/>
        </w:rPr>
        <w:t>cádmio, o manganês e o níquel, bromo, chumbo, cianeto, cobre, cromato, fenóis, fosfato, manganês e sulfeto. Tais concentrações podem comprometer o ecossistema e representar riscos à saúde (</w:t>
      </w:r>
      <w:r w:rsidR="00185E13">
        <w:rPr>
          <w:rFonts w:ascii="Times New Roman" w:hAnsi="Times New Roman" w:cs="Times New Roman"/>
          <w:bCs/>
        </w:rPr>
        <w:t xml:space="preserve">Porto e </w:t>
      </w:r>
      <w:r w:rsidRPr="009C0164">
        <w:rPr>
          <w:rFonts w:ascii="Times New Roman" w:hAnsi="Times New Roman" w:cs="Times New Roman"/>
          <w:bCs/>
        </w:rPr>
        <w:t>Ethur, 2009).</w:t>
      </w:r>
    </w:p>
    <w:p w:rsidR="001227A0" w:rsidRPr="009C0164" w:rsidRDefault="001227A0"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A contagem de heterótrofos e a presença de coliformes totais são relevantes indicadores</w:t>
      </w:r>
      <w:r w:rsidR="00BF05CD">
        <w:rPr>
          <w:rFonts w:ascii="Times New Roman" w:hAnsi="Times New Roman" w:cs="Times New Roman"/>
          <w:bCs/>
        </w:rPr>
        <w:t xml:space="preserve"> da qualidade da água (</w:t>
      </w:r>
      <w:r w:rsidR="00F633F0">
        <w:rPr>
          <w:rFonts w:ascii="Times New Roman" w:hAnsi="Times New Roman" w:cs="Times New Roman"/>
          <w:bCs/>
        </w:rPr>
        <w:t xml:space="preserve">Ishii, </w:t>
      </w:r>
      <w:r w:rsidR="00F633F0" w:rsidRPr="00F633F0">
        <w:rPr>
          <w:rFonts w:ascii="Times New Roman" w:hAnsi="Times New Roman" w:cs="Times New Roman"/>
          <w:bCs/>
        </w:rPr>
        <w:t>Sadowsky</w:t>
      </w:r>
      <w:r w:rsidRPr="009C0164">
        <w:rPr>
          <w:rFonts w:ascii="Times New Roman" w:hAnsi="Times New Roman" w:cs="Times New Roman"/>
          <w:bCs/>
        </w:rPr>
        <w:t xml:space="preserve">, 2008). </w:t>
      </w:r>
      <w:r w:rsidRPr="009C0164">
        <w:rPr>
          <w:rFonts w:ascii="Times New Roman" w:hAnsi="Times New Roman" w:cs="Times New Roman"/>
        </w:rPr>
        <w:t>No caso do grupo Coliforme</w:t>
      </w:r>
      <w:r w:rsidR="00EE34D4">
        <w:rPr>
          <w:rFonts w:ascii="Times New Roman" w:hAnsi="Times New Roman" w:cs="Times New Roman"/>
        </w:rPr>
        <w:t>s</w:t>
      </w:r>
      <w:r w:rsidRPr="009C0164">
        <w:rPr>
          <w:rFonts w:ascii="Times New Roman" w:hAnsi="Times New Roman" w:cs="Times New Roman"/>
        </w:rPr>
        <w:t xml:space="preserve">, analisa-se principalmente a contaminação por </w:t>
      </w:r>
      <w:r w:rsidRPr="00DE6576">
        <w:rPr>
          <w:rFonts w:ascii="Times New Roman" w:hAnsi="Times New Roman" w:cs="Times New Roman"/>
          <w:i/>
        </w:rPr>
        <w:t>Escherichia coli</w:t>
      </w:r>
      <w:r w:rsidRPr="009C0164">
        <w:rPr>
          <w:rFonts w:ascii="Times New Roman" w:hAnsi="Times New Roman" w:cs="Times New Roman"/>
        </w:rPr>
        <w:t>, muito associada à</w:t>
      </w:r>
      <w:r w:rsidR="00A8762F">
        <w:rPr>
          <w:rFonts w:ascii="Times New Roman" w:hAnsi="Times New Roman" w:cs="Times New Roman"/>
        </w:rPr>
        <w:t>s</w:t>
      </w:r>
      <w:r w:rsidRPr="009C0164">
        <w:rPr>
          <w:rFonts w:ascii="Times New Roman" w:hAnsi="Times New Roman" w:cs="Times New Roman"/>
        </w:rPr>
        <w:t xml:space="preserve"> condições higiênicas ineficazes (Coelho et al., 2010; Cavalcante, 2014; Silva et al., 2016). A </w:t>
      </w:r>
      <w:r w:rsidRPr="00DE6576">
        <w:rPr>
          <w:rFonts w:ascii="Times New Roman" w:hAnsi="Times New Roman" w:cs="Times New Roman"/>
          <w:bCs/>
          <w:i/>
        </w:rPr>
        <w:t>Escherichia coli</w:t>
      </w:r>
      <w:r w:rsidRPr="009C0164">
        <w:rPr>
          <w:rFonts w:ascii="Times New Roman" w:hAnsi="Times New Roman" w:cs="Times New Roman"/>
          <w:bCs/>
        </w:rPr>
        <w:t>e enterococos são indicadores de contaminação fecal utilizados em grande escala para determinação da contaminação da água para consumo humano, pois associam-se a m</w:t>
      </w:r>
      <w:r w:rsidR="0030227E">
        <w:rPr>
          <w:rFonts w:ascii="Times New Roman" w:hAnsi="Times New Roman" w:cs="Times New Roman"/>
          <w:bCs/>
        </w:rPr>
        <w:t>orbimortalidade evitável (Ishii e Sadowsky</w:t>
      </w:r>
      <w:r w:rsidRPr="009C0164">
        <w:rPr>
          <w:rFonts w:ascii="Times New Roman" w:hAnsi="Times New Roman" w:cs="Times New Roman"/>
          <w:bCs/>
        </w:rPr>
        <w:t>, 2008).</w:t>
      </w:r>
    </w:p>
    <w:p w:rsidR="001227A0" w:rsidRPr="009C0164" w:rsidRDefault="001227A0"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rPr>
        <w:t xml:space="preserve">Analisam-se as condições das amostras segundo os </w:t>
      </w:r>
      <w:r w:rsidRPr="009C0164">
        <w:rPr>
          <w:rFonts w:ascii="Times New Roman" w:hAnsi="Times New Roman" w:cs="Times New Roman"/>
          <w:bCs/>
        </w:rPr>
        <w:t>padrões estabelecidos pela Portaria nº 2.914</w:t>
      </w:r>
      <w:r w:rsidR="00EE34D4">
        <w:rPr>
          <w:rFonts w:ascii="Times New Roman" w:hAnsi="Times New Roman" w:cs="Times New Roman"/>
          <w:bCs/>
        </w:rPr>
        <w:t xml:space="preserve"> (12/dezembro/</w:t>
      </w:r>
      <w:r w:rsidRPr="009C0164">
        <w:rPr>
          <w:rFonts w:ascii="Times New Roman" w:hAnsi="Times New Roman" w:cs="Times New Roman"/>
          <w:bCs/>
        </w:rPr>
        <w:t>2011</w:t>
      </w:r>
      <w:r w:rsidR="00EE34D4">
        <w:rPr>
          <w:rFonts w:ascii="Times New Roman" w:hAnsi="Times New Roman" w:cs="Times New Roman"/>
          <w:bCs/>
        </w:rPr>
        <w:t>)</w:t>
      </w:r>
      <w:r w:rsidRPr="009C0164">
        <w:rPr>
          <w:rFonts w:ascii="Times New Roman" w:hAnsi="Times New Roman" w:cs="Times New Roman"/>
          <w:bCs/>
        </w:rPr>
        <w:t>, do Ministério da Saúde, que dispõe sobre os procedimentos de controle e de vigilância da qualidade da água para consumo humano e seu padrão de potabilidade (</w:t>
      </w:r>
      <w:r w:rsidR="002B6AC5">
        <w:rPr>
          <w:rFonts w:ascii="Times New Roman" w:hAnsi="Times New Roman" w:cs="Times New Roman"/>
        </w:rPr>
        <w:t xml:space="preserve">Brasil, </w:t>
      </w:r>
      <w:r w:rsidRPr="009C0164">
        <w:rPr>
          <w:rFonts w:ascii="Times New Roman" w:hAnsi="Times New Roman" w:cs="Times New Roman"/>
        </w:rPr>
        <w:t>2011</w:t>
      </w:r>
      <w:r w:rsidRPr="009C0164">
        <w:rPr>
          <w:rFonts w:ascii="Times New Roman" w:hAnsi="Times New Roman" w:cs="Times New Roman"/>
          <w:bCs/>
        </w:rPr>
        <w:t>) e pela Resolução nº 357</w:t>
      </w:r>
      <w:r w:rsidR="00EE34D4">
        <w:rPr>
          <w:rFonts w:ascii="Times New Roman" w:hAnsi="Times New Roman" w:cs="Times New Roman"/>
          <w:bCs/>
        </w:rPr>
        <w:t xml:space="preserve"> (17/março/</w:t>
      </w:r>
      <w:r w:rsidRPr="009C0164">
        <w:rPr>
          <w:rFonts w:ascii="Times New Roman" w:hAnsi="Times New Roman" w:cs="Times New Roman"/>
          <w:bCs/>
        </w:rPr>
        <w:t>2005</w:t>
      </w:r>
      <w:r w:rsidR="00EE34D4">
        <w:rPr>
          <w:rFonts w:ascii="Times New Roman" w:hAnsi="Times New Roman" w:cs="Times New Roman"/>
          <w:bCs/>
        </w:rPr>
        <w:t>)</w:t>
      </w:r>
      <w:r w:rsidRPr="009C0164">
        <w:rPr>
          <w:rFonts w:ascii="Times New Roman" w:hAnsi="Times New Roman" w:cs="Times New Roman"/>
          <w:bCs/>
        </w:rPr>
        <w:t>, do Conselho Nacional do Meio Ambiente (CONAMA), que dispõe sobre a classificação dos corpos de água e diretrizes ambientais para o seu enquadramento, bem como</w:t>
      </w:r>
      <w:r w:rsidR="00EE34D4">
        <w:rPr>
          <w:rFonts w:ascii="Times New Roman" w:hAnsi="Times New Roman" w:cs="Times New Roman"/>
          <w:bCs/>
        </w:rPr>
        <w:t>,</w:t>
      </w:r>
      <w:r w:rsidRPr="009C0164">
        <w:rPr>
          <w:rFonts w:ascii="Times New Roman" w:hAnsi="Times New Roman" w:cs="Times New Roman"/>
          <w:bCs/>
        </w:rPr>
        <w:t xml:space="preserve"> estabelece as condições e padrões d</w:t>
      </w:r>
      <w:r w:rsidR="00EE34D4">
        <w:rPr>
          <w:rFonts w:ascii="Times New Roman" w:hAnsi="Times New Roman" w:cs="Times New Roman"/>
          <w:bCs/>
        </w:rPr>
        <w:t xml:space="preserve">e lançamento de efluentes, e </w:t>
      </w:r>
      <w:r w:rsidRPr="009C0164">
        <w:rPr>
          <w:rFonts w:ascii="Times New Roman" w:hAnsi="Times New Roman" w:cs="Times New Roman"/>
          <w:bCs/>
        </w:rPr>
        <w:t xml:space="preserve">outras providências (CONAMA, </w:t>
      </w:r>
      <w:r w:rsidRPr="009C0164">
        <w:rPr>
          <w:rFonts w:ascii="Times New Roman" w:hAnsi="Times New Roman" w:cs="Times New Roman"/>
        </w:rPr>
        <w:t>2005).</w:t>
      </w:r>
    </w:p>
    <w:p w:rsidR="00D25CD0" w:rsidRPr="009C0164" w:rsidRDefault="00D25CD0"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rPr>
        <w:t>Sabe-se que o controle e monitoramento da qualidade da água é uma necessidade universal, que exige zelo das autoridades sanitárias, investimentos públicos, gestão e planejamento. A conscientização acerca dos cuidados para conservação dos recursos hídricos aplica-se à população em geral. Deve-se ter um olhar especial, à água destinada ao consumo humano, visto que ela pode tornar-se um veículo apto a transmissão de agentes patogênicos e substâncias nocivas à saúde (Araújo et al., 2011; Wang et al., 2014).</w:t>
      </w:r>
    </w:p>
    <w:p w:rsidR="001227A0" w:rsidRPr="009C0164" w:rsidRDefault="001227A0" w:rsidP="009C0164">
      <w:pPr>
        <w:autoSpaceDE w:val="0"/>
        <w:autoSpaceDN w:val="0"/>
        <w:adjustRightInd w:val="0"/>
        <w:spacing w:before="120" w:after="120" w:line="240" w:lineRule="auto"/>
        <w:ind w:firstLine="709"/>
        <w:jc w:val="both"/>
        <w:rPr>
          <w:rFonts w:ascii="Times New Roman" w:hAnsi="Times New Roman" w:cs="Times New Roman"/>
        </w:rPr>
      </w:pPr>
      <w:r w:rsidRPr="009C0164">
        <w:rPr>
          <w:rFonts w:ascii="Times New Roman" w:hAnsi="Times New Roman" w:cs="Times New Roman"/>
        </w:rPr>
        <w:t xml:space="preserve">Associa-se o desenvolvimento de doenças crônicas, como por exemplo, alguns tipos de câncer e lesões em órgãos internos, assim como alterações no sistema nervoso, imunológico, reprodutivo e no genoma humano, com a presença de poluentes químicos e metais pesados, provenientes de fontes industriais, agrícolas e urbanas, organofosforados e carbonatos, </w:t>
      </w:r>
      <w:r w:rsidR="00EE34D4">
        <w:rPr>
          <w:rFonts w:ascii="Times New Roman" w:hAnsi="Times New Roman" w:cs="Times New Roman"/>
        </w:rPr>
        <w:t xml:space="preserve">e relaciona-se </w:t>
      </w:r>
      <w:r w:rsidRPr="009C0164">
        <w:rPr>
          <w:rFonts w:ascii="Times New Roman" w:hAnsi="Times New Roman" w:cs="Times New Roman"/>
        </w:rPr>
        <w:t>complicações na medula espinhal pela exposição ao fluoreto (Borbolla</w:t>
      </w:r>
      <w:r w:rsidR="00773609">
        <w:rPr>
          <w:rFonts w:ascii="Times New Roman" w:hAnsi="Times New Roman" w:cs="Times New Roman"/>
        </w:rPr>
        <w:t xml:space="preserve"> et al., </w:t>
      </w:r>
      <w:r w:rsidR="00AF1817">
        <w:rPr>
          <w:rFonts w:ascii="Times New Roman" w:hAnsi="Times New Roman" w:cs="Times New Roman"/>
        </w:rPr>
        <w:t>2003; Novotny, 1996</w:t>
      </w:r>
      <w:r w:rsidRPr="009C0164">
        <w:rPr>
          <w:rFonts w:ascii="Times New Roman" w:hAnsi="Times New Roman" w:cs="Times New Roman"/>
        </w:rPr>
        <w:t>; Howard, 2000).</w:t>
      </w:r>
    </w:p>
    <w:p w:rsidR="008C0CAD" w:rsidRDefault="004E4691" w:rsidP="009C0164">
      <w:pPr>
        <w:autoSpaceDE w:val="0"/>
        <w:autoSpaceDN w:val="0"/>
        <w:adjustRightInd w:val="0"/>
        <w:spacing w:before="120" w:after="120" w:line="240" w:lineRule="auto"/>
        <w:ind w:firstLine="709"/>
        <w:jc w:val="both"/>
        <w:rPr>
          <w:rFonts w:ascii="Times New Roman" w:hAnsi="Times New Roman" w:cs="Times New Roman"/>
        </w:rPr>
        <w:sectPr w:rsidR="008C0CAD" w:rsidSect="008C0CAD">
          <w:footnotePr>
            <w:numFmt w:val="lowerLetter"/>
          </w:footnotePr>
          <w:type w:val="continuous"/>
          <w:pgSz w:w="11906" w:h="16838"/>
          <w:pgMar w:top="1134" w:right="1134" w:bottom="1134" w:left="1134" w:header="567" w:footer="567" w:gutter="0"/>
          <w:cols w:num="2" w:space="708"/>
          <w:docGrid w:linePitch="360"/>
        </w:sectPr>
      </w:pPr>
      <w:r w:rsidRPr="009C0164">
        <w:rPr>
          <w:rFonts w:ascii="Times New Roman" w:hAnsi="Times New Roman" w:cs="Times New Roman"/>
        </w:rPr>
        <w:t xml:space="preserve">Necessita-se de segurança e garantia à qualidade hídrica para o consumo humano, fato que torna notória a relevância do monitoramento da qualidade bacteriológica da água. Este processo objetiva avaliar os padrões de potabilidade, a fim de evitar o consumo humano </w:t>
      </w:r>
      <w:r w:rsidR="00EE34D4">
        <w:rPr>
          <w:rFonts w:ascii="Times New Roman" w:hAnsi="Times New Roman" w:cs="Times New Roman"/>
        </w:rPr>
        <w:t xml:space="preserve">com </w:t>
      </w:r>
      <w:r w:rsidRPr="009C0164">
        <w:rPr>
          <w:rFonts w:ascii="Times New Roman" w:hAnsi="Times New Roman" w:cs="Times New Roman"/>
        </w:rPr>
        <w:t>água contaminada por patógenos que causem danos à saúde (Müller e Parussolo, 2014).</w:t>
      </w:r>
    </w:p>
    <w:p w:rsidR="00866425" w:rsidRPr="009C0164" w:rsidRDefault="00866425" w:rsidP="009C0164">
      <w:pPr>
        <w:autoSpaceDE w:val="0"/>
        <w:autoSpaceDN w:val="0"/>
        <w:adjustRightInd w:val="0"/>
        <w:spacing w:before="120" w:after="120" w:line="240" w:lineRule="auto"/>
        <w:ind w:firstLine="709"/>
        <w:jc w:val="both"/>
        <w:rPr>
          <w:rFonts w:ascii="Times New Roman" w:hAnsi="Times New Roman" w:cs="Times New Roman"/>
          <w:bCs/>
        </w:rPr>
      </w:pPr>
    </w:p>
    <w:p w:rsidR="00A97F42" w:rsidRPr="009C0164" w:rsidRDefault="00A97F42" w:rsidP="00A8762F">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noProof/>
        </w:rPr>
        <w:lastRenderedPageBreak/>
        <w:drawing>
          <wp:inline distT="0" distB="0" distL="0" distR="0">
            <wp:extent cx="6018561" cy="8522522"/>
            <wp:effectExtent l="19050" t="19050" r="127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_MAPA_OBITOS_INTERNACOE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18561" cy="8522522"/>
                    </a:xfrm>
                    <a:prstGeom prst="rect">
                      <a:avLst/>
                    </a:prstGeom>
                    <a:ln w="3175">
                      <a:solidFill>
                        <a:schemeClr val="tx1"/>
                      </a:solidFill>
                    </a:ln>
                  </pic:spPr>
                </pic:pic>
              </a:graphicData>
            </a:graphic>
          </wp:inline>
        </w:drawing>
      </w:r>
    </w:p>
    <w:p w:rsidR="00037194" w:rsidRPr="009C0164" w:rsidRDefault="00A97F42" w:rsidP="007D5B9B">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rPr>
        <w:t>Figura 1. Número de internações hospitalares (a) e óbitos (b) por Doenças de Transmissão Hídrica e Alimentar, Rio Grande do Sul, 2016.</w:t>
      </w:r>
    </w:p>
    <w:p w:rsidR="00A97F42" w:rsidRPr="009C0164" w:rsidRDefault="00A97F42" w:rsidP="007D5B9B">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noProof/>
        </w:rPr>
        <w:lastRenderedPageBreak/>
        <w:drawing>
          <wp:inline distT="0" distB="0" distL="0" distR="0">
            <wp:extent cx="6021417" cy="8526564"/>
            <wp:effectExtent l="19050" t="19050" r="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_DESTINO_FEZES_URIN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28794" cy="8537011"/>
                    </a:xfrm>
                    <a:prstGeom prst="rect">
                      <a:avLst/>
                    </a:prstGeom>
                    <a:ln w="3175">
                      <a:solidFill>
                        <a:schemeClr val="tx1"/>
                      </a:solidFill>
                    </a:ln>
                  </pic:spPr>
                </pic:pic>
              </a:graphicData>
            </a:graphic>
          </wp:inline>
        </w:drawing>
      </w:r>
    </w:p>
    <w:p w:rsidR="00A97F42" w:rsidRPr="009C0164" w:rsidRDefault="00A97F42" w:rsidP="007D5B9B">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rPr>
        <w:t>Figura 2. Percentual municipal de destinação de fezes e urina em esgoto (a), fossa séptica ou rudimentar (b) e destinação a céu aberto (c), Rio Grande do Sul, 2015.</w:t>
      </w:r>
    </w:p>
    <w:p w:rsidR="00C46D78" w:rsidRPr="009C0164" w:rsidRDefault="00C46D78" w:rsidP="009C0164">
      <w:pPr>
        <w:autoSpaceDE w:val="0"/>
        <w:autoSpaceDN w:val="0"/>
        <w:adjustRightInd w:val="0"/>
        <w:spacing w:before="120" w:after="120" w:line="240" w:lineRule="auto"/>
        <w:ind w:firstLine="709"/>
        <w:jc w:val="both"/>
        <w:rPr>
          <w:rFonts w:ascii="Times New Roman" w:hAnsi="Times New Roman" w:cs="Times New Roman"/>
          <w:bCs/>
        </w:rPr>
      </w:pPr>
    </w:p>
    <w:p w:rsidR="00C46D78" w:rsidRPr="009C0164" w:rsidRDefault="00FA2AE0" w:rsidP="007D5B9B">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noProof/>
        </w:rPr>
        <w:drawing>
          <wp:inline distT="0" distB="0" distL="0" distR="0">
            <wp:extent cx="6081623" cy="8611819"/>
            <wp:effectExtent l="19050" t="1905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_MAPA_LIX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88903" cy="8622128"/>
                    </a:xfrm>
                    <a:prstGeom prst="rect">
                      <a:avLst/>
                    </a:prstGeom>
                    <a:ln w="3175">
                      <a:solidFill>
                        <a:schemeClr val="tx1"/>
                      </a:solidFill>
                    </a:ln>
                  </pic:spPr>
                </pic:pic>
              </a:graphicData>
            </a:graphic>
          </wp:inline>
        </w:drawing>
      </w:r>
    </w:p>
    <w:p w:rsidR="00FA2AE0" w:rsidRPr="009C0164" w:rsidRDefault="00A97F42" w:rsidP="007D5B9B">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rPr>
        <w:lastRenderedPageBreak/>
        <w:t>Figura 3.</w:t>
      </w:r>
      <w:r w:rsidR="00FA2AE0" w:rsidRPr="009C0164">
        <w:rPr>
          <w:rFonts w:ascii="Times New Roman" w:hAnsi="Times New Roman" w:cs="Times New Roman"/>
          <w:bCs/>
        </w:rPr>
        <w:t xml:space="preserve"> Percentual municipal da destinação de lixo coletado (a), queimado ou enterrado (b) e destinação a céu aberto (c), Rio Grande do Sul, 2015.</w:t>
      </w:r>
    </w:p>
    <w:p w:rsidR="00A97F42" w:rsidRPr="009C0164" w:rsidRDefault="00A97F42" w:rsidP="009C0164">
      <w:pPr>
        <w:autoSpaceDE w:val="0"/>
        <w:autoSpaceDN w:val="0"/>
        <w:adjustRightInd w:val="0"/>
        <w:spacing w:before="120" w:after="120" w:line="240" w:lineRule="auto"/>
        <w:ind w:firstLine="709"/>
        <w:jc w:val="both"/>
        <w:rPr>
          <w:rFonts w:ascii="Times New Roman" w:hAnsi="Times New Roman" w:cs="Times New Roman"/>
          <w:bCs/>
        </w:rPr>
      </w:pPr>
    </w:p>
    <w:p w:rsidR="001B41A4" w:rsidRPr="009C0164" w:rsidRDefault="001B41A4" w:rsidP="00B720DD">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noProof/>
        </w:rPr>
        <w:lastRenderedPageBreak/>
        <w:drawing>
          <wp:inline distT="0" distB="0" distL="0" distR="0">
            <wp:extent cx="6033601" cy="8543817"/>
            <wp:effectExtent l="19050" t="19050" r="571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_MAPA_ABASTECIMENTO_AGU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47802" cy="8563926"/>
                    </a:xfrm>
                    <a:prstGeom prst="rect">
                      <a:avLst/>
                    </a:prstGeom>
                    <a:ln w="3175">
                      <a:solidFill>
                        <a:schemeClr val="tx1"/>
                      </a:solidFill>
                    </a:ln>
                  </pic:spPr>
                </pic:pic>
              </a:graphicData>
            </a:graphic>
          </wp:inline>
        </w:drawing>
      </w:r>
    </w:p>
    <w:p w:rsidR="001B41A4" w:rsidRPr="009C0164" w:rsidRDefault="00A97F42" w:rsidP="00B720DD">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rPr>
        <w:t>Figura 4.</w:t>
      </w:r>
      <w:r w:rsidR="001B41A4" w:rsidRPr="009C0164">
        <w:rPr>
          <w:rFonts w:ascii="Times New Roman" w:hAnsi="Times New Roman" w:cs="Times New Roman"/>
          <w:bCs/>
        </w:rPr>
        <w:t xml:space="preserve"> Percentual municipal de abastecimento de água da rede geral (a), poço ou nascente (b) e outras formas de abastecimento (c), Rio Grande do Sul, 2015.</w:t>
      </w:r>
    </w:p>
    <w:p w:rsidR="00A97F42" w:rsidRPr="009C0164" w:rsidRDefault="00A97F42" w:rsidP="009C0164">
      <w:pPr>
        <w:autoSpaceDE w:val="0"/>
        <w:autoSpaceDN w:val="0"/>
        <w:adjustRightInd w:val="0"/>
        <w:spacing w:before="120" w:after="120" w:line="240" w:lineRule="auto"/>
        <w:ind w:firstLine="709"/>
        <w:jc w:val="both"/>
        <w:rPr>
          <w:rFonts w:ascii="Times New Roman" w:hAnsi="Times New Roman" w:cs="Times New Roman"/>
          <w:bCs/>
        </w:rPr>
      </w:pPr>
    </w:p>
    <w:p w:rsidR="001B41A4" w:rsidRPr="009C0164" w:rsidRDefault="001B41A4" w:rsidP="0058054B">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noProof/>
        </w:rPr>
        <w:drawing>
          <wp:inline distT="0" distB="0" distL="0" distR="0">
            <wp:extent cx="6012612" cy="8514096"/>
            <wp:effectExtent l="19050" t="19050" r="7620"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_MAPA_TRATAMENTO_DA_AGUA_NO_DOMICILI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18752" cy="8522791"/>
                    </a:xfrm>
                    <a:prstGeom prst="rect">
                      <a:avLst/>
                    </a:prstGeom>
                    <a:ln w="3175">
                      <a:solidFill>
                        <a:schemeClr val="tx1"/>
                      </a:solidFill>
                    </a:ln>
                  </pic:spPr>
                </pic:pic>
              </a:graphicData>
            </a:graphic>
          </wp:inline>
        </w:drawing>
      </w:r>
    </w:p>
    <w:p w:rsidR="001B41A4" w:rsidRPr="009C0164" w:rsidRDefault="00A97F42" w:rsidP="0058054B">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rPr>
        <w:lastRenderedPageBreak/>
        <w:t>Figura 5.</w:t>
      </w:r>
      <w:r w:rsidR="001B41A4" w:rsidRPr="009C0164">
        <w:rPr>
          <w:rFonts w:ascii="Times New Roman" w:hAnsi="Times New Roman" w:cs="Times New Roman"/>
          <w:bCs/>
        </w:rPr>
        <w:t xml:space="preserve"> Percentual municipal das formas de tratamento domiciliar da água para consumo humano filtrada (a), fervida (b) e clorada (c), Rio Grande do Sul, 2015.</w:t>
      </w:r>
    </w:p>
    <w:p w:rsidR="00A97F42" w:rsidRPr="009C0164" w:rsidRDefault="00A97F42" w:rsidP="009C0164">
      <w:pPr>
        <w:autoSpaceDE w:val="0"/>
        <w:autoSpaceDN w:val="0"/>
        <w:adjustRightInd w:val="0"/>
        <w:spacing w:before="120" w:after="120" w:line="240" w:lineRule="auto"/>
        <w:ind w:firstLine="709"/>
        <w:jc w:val="both"/>
        <w:rPr>
          <w:rFonts w:ascii="Times New Roman" w:hAnsi="Times New Roman" w:cs="Times New Roman"/>
          <w:bCs/>
        </w:rPr>
      </w:pPr>
    </w:p>
    <w:p w:rsidR="001B41A4" w:rsidRPr="009C0164" w:rsidRDefault="001B41A4" w:rsidP="00A3224B">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noProof/>
        </w:rPr>
        <w:drawing>
          <wp:inline distT="0" distB="0" distL="0" distR="0">
            <wp:extent cx="6120804" cy="4322134"/>
            <wp:effectExtent l="19050" t="19050" r="0" b="254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_MAPA_AGUA_SEM_TRATAMENT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44565" cy="4338912"/>
                    </a:xfrm>
                    <a:prstGeom prst="rect">
                      <a:avLst/>
                    </a:prstGeom>
                    <a:ln w="3175">
                      <a:solidFill>
                        <a:schemeClr val="tx1"/>
                      </a:solidFill>
                    </a:ln>
                  </pic:spPr>
                </pic:pic>
              </a:graphicData>
            </a:graphic>
          </wp:inline>
        </w:drawing>
      </w:r>
    </w:p>
    <w:p w:rsidR="001B41A4" w:rsidRPr="009C0164" w:rsidRDefault="00A97F42" w:rsidP="00A3224B">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rPr>
        <w:t>Figura 6.</w:t>
      </w:r>
      <w:r w:rsidR="001B41A4" w:rsidRPr="009C0164">
        <w:rPr>
          <w:rFonts w:ascii="Times New Roman" w:hAnsi="Times New Roman" w:cs="Times New Roman"/>
          <w:bCs/>
        </w:rPr>
        <w:t xml:space="preserve"> Percentual municipal da utilização de água para consumo humano sem tratamento, Rio Grande do Sul, 2015.</w:t>
      </w:r>
    </w:p>
    <w:p w:rsidR="008C0CAD" w:rsidRDefault="008C0CAD" w:rsidP="009C0164">
      <w:pPr>
        <w:autoSpaceDE w:val="0"/>
        <w:autoSpaceDN w:val="0"/>
        <w:adjustRightInd w:val="0"/>
        <w:spacing w:before="120" w:after="120" w:line="240" w:lineRule="auto"/>
        <w:ind w:firstLine="709"/>
        <w:jc w:val="both"/>
        <w:rPr>
          <w:rFonts w:ascii="Times New Roman" w:hAnsi="Times New Roman" w:cs="Times New Roman"/>
          <w:bCs/>
        </w:rPr>
      </w:pPr>
    </w:p>
    <w:p w:rsidR="008C0CAD" w:rsidRDefault="008C0CAD" w:rsidP="009C0164">
      <w:pPr>
        <w:autoSpaceDE w:val="0"/>
        <w:autoSpaceDN w:val="0"/>
        <w:adjustRightInd w:val="0"/>
        <w:spacing w:before="120" w:after="120" w:line="240" w:lineRule="auto"/>
        <w:ind w:firstLine="709"/>
        <w:jc w:val="both"/>
        <w:rPr>
          <w:rFonts w:ascii="Times New Roman" w:hAnsi="Times New Roman" w:cs="Times New Roman"/>
          <w:bCs/>
        </w:rPr>
        <w:sectPr w:rsidR="008C0CAD" w:rsidSect="00AC20E3">
          <w:footnotePr>
            <w:numFmt w:val="lowerLetter"/>
          </w:footnotePr>
          <w:type w:val="continuous"/>
          <w:pgSz w:w="11906" w:h="16838"/>
          <w:pgMar w:top="1134" w:right="1134" w:bottom="1134" w:left="1134" w:header="567" w:footer="567" w:gutter="0"/>
          <w:cols w:space="708"/>
          <w:docGrid w:linePitch="360"/>
        </w:sectPr>
      </w:pPr>
    </w:p>
    <w:p w:rsidR="00985491" w:rsidRPr="009C0164" w:rsidRDefault="00985491" w:rsidP="009C0164">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Visou-se realizar o cálculo do risco dos fatores e tendências relacionados às DTHA, transformaram-se os valores resultantes em uma escala de 0 a 100, por meio de Interpolação Linear Simples, considerando-se mais suscetíveis os municípios categorizados em 81 a 100. Considera-se relevante a análise das áreas mais suscetíveis às DTHA, uma vez que possibilita o planejamento e execução das ações emergentes (Figura 7).</w:t>
      </w:r>
    </w:p>
    <w:p w:rsidR="008C0CAD" w:rsidRDefault="00985491" w:rsidP="009C0164">
      <w:pPr>
        <w:autoSpaceDE w:val="0"/>
        <w:autoSpaceDN w:val="0"/>
        <w:adjustRightInd w:val="0"/>
        <w:spacing w:before="120" w:after="120" w:line="240" w:lineRule="auto"/>
        <w:ind w:firstLine="709"/>
        <w:jc w:val="both"/>
        <w:rPr>
          <w:rFonts w:ascii="Times New Roman" w:hAnsi="Times New Roman" w:cs="Times New Roman"/>
          <w:bCs/>
        </w:rPr>
        <w:sectPr w:rsidR="008C0CAD" w:rsidSect="008C0CAD">
          <w:footnotePr>
            <w:numFmt w:val="lowerLetter"/>
          </w:footnotePr>
          <w:type w:val="continuous"/>
          <w:pgSz w:w="11906" w:h="16838"/>
          <w:pgMar w:top="1134" w:right="1134" w:bottom="1134" w:left="1134" w:header="567" w:footer="567" w:gutter="0"/>
          <w:cols w:num="2" w:space="708"/>
          <w:docGrid w:linePitch="360"/>
        </w:sectPr>
      </w:pPr>
      <w:r w:rsidRPr="009C0164">
        <w:rPr>
          <w:rFonts w:ascii="Times New Roman" w:hAnsi="Times New Roman" w:cs="Times New Roman"/>
          <w:bCs/>
        </w:rPr>
        <w:t>Constituem-se os municípios categorizados como Risco Máximo (81 a 100) Arroio do Padre (100), Barros Cassal (100), Nova Hartz (99,8), Água Santa (99,6), Barra do Rio Azul (99,4), Cacique Doble (99,2), Camaquã (99,0), Boa Vista do Incra (98,8), Santana da Boa Vista (98,6), Segredo (98,4), São José dos Ausentes (98,2), Gramado Xavier (98,0), Carlos Gomes</w:t>
      </w:r>
      <w:r w:rsidRPr="009C0164">
        <w:rPr>
          <w:rFonts w:ascii="Times New Roman" w:hAnsi="Times New Roman" w:cs="Times New Roman"/>
          <w:bCs/>
        </w:rPr>
        <w:tab/>
        <w:t>(97,8), Nova Ramada</w:t>
      </w:r>
      <w:r w:rsidRPr="009C0164">
        <w:rPr>
          <w:rFonts w:ascii="Times New Roman" w:hAnsi="Times New Roman" w:cs="Times New Roman"/>
          <w:bCs/>
        </w:rPr>
        <w:tab/>
        <w:t xml:space="preserve">(97,6), São João da Urtiga (97,4), Itapuca (97,2), Candelária (97,0), Alpestre (96,8), Araricá (96,6), Alecrim (96,4), </w:t>
      </w:r>
      <w:r w:rsidRPr="009C0164">
        <w:rPr>
          <w:rFonts w:ascii="Times New Roman" w:hAnsi="Times New Roman" w:cs="Times New Roman"/>
          <w:bCs/>
        </w:rPr>
        <w:t xml:space="preserve">Cerro Grande do Sul (96,2), Tunas (96,0), Charrua (95,8), Bom Jesus (95,6), Fagundes Varela (95,4), São José do Herval (95,2), Iraí (95,0), Aratiba (94,8), São Sepé (94,6), Jaquirana (94,4), Maçambará (94,2), Ipê (94,0), Progresso (93,8), Boa Vista do Cadeado (93,6), Porto Alegre (93,4), Rio Pardo (93,2), Lagoa Vermelha (93,0), São Marcos (92,8), Canudos do Vale (92,6), Sinimbu (92,4), Casca (92,2), Benjamin Constant do Sul (92,0), Vacaria (91,8), Rolador (91,6), Tiradentes do Sul (91,4), Sarandi (91,2), Marcelino Ramos (91,0), Ubiretama (90,8), Igrejinha (90,6), Eldorado do Sul (90,4), Campo Bom (90,2), Riozinho (90,0), Rondinha (89,8), Sagrada Família (89,6), Gaurama (89,4), Venâncio Aires (89,2), Vitória das Missões (89,0), Colorado (88,8), Três Arroios (88,6), Vista Alegre (88,4), Sete de Setembro (88,2), Erval Grande (88,0), Paulo Bento (87,8), Vanini (87,6), Santo Antônio das Missões (87,4), Herveiras (87,2), </w:t>
      </w:r>
      <w:r w:rsidRPr="009C0164">
        <w:rPr>
          <w:rFonts w:ascii="Times New Roman" w:hAnsi="Times New Roman" w:cs="Times New Roman"/>
          <w:bCs/>
        </w:rPr>
        <w:lastRenderedPageBreak/>
        <w:t xml:space="preserve">Guaporé (87,0), Três Coroas (86,8), Farroupilha (86,6), Redentora (86,4), Jacutinga (86,2), Liberato Salzano (86,0), Guarani das Missões (85,8), Sapucaia do Sul (85,6), Severiano de Almeida (85,4), Santiago (85,2), Faxinalzinho (85,0), Vera Cruz (84,8), Vila Lângaro (84,6), Maximiliano de Almeida (84,4), Brochier (84,2), Dois Irmãos das Missões (84,0), Salto do Jacuí (83,8), Passo do Sobrado (83,6), São Valentim </w:t>
      </w:r>
      <w:r w:rsidRPr="009C0164">
        <w:rPr>
          <w:rFonts w:ascii="Times New Roman" w:hAnsi="Times New Roman" w:cs="Times New Roman"/>
          <w:bCs/>
        </w:rPr>
        <w:t>(83,4), Crissiumal (83,2), Campinas do Sul (83,0), Pinheirinho do Vale (82,8), Santa Cruz do Sul (82,6), Áurea (82,4), Ibiaçá (82,2), São José das Missões (82,0), Santa Maria (81,8), Capivari do Sul (81,6), São Martinho da Serra (81,4), Ciríaco(81,2) e Coronel Bicaco (81,0). A análise espacial de risco para as DTHA apresentou independência espacial significativa, para o Rio Grande do Sul (</w:t>
      </w:r>
      <w:r w:rsidRPr="009C0164">
        <w:rPr>
          <w:rFonts w:ascii="Times New Roman" w:hAnsi="Times New Roman" w:cs="Times New Roman"/>
          <w:bCs/>
          <w:i/>
        </w:rPr>
        <w:t>I</w:t>
      </w:r>
      <w:r w:rsidRPr="009C0164">
        <w:rPr>
          <w:rFonts w:ascii="Times New Roman" w:hAnsi="Times New Roman" w:cs="Times New Roman"/>
          <w:bCs/>
        </w:rPr>
        <w:t xml:space="preserve">=0,12 </w:t>
      </w:r>
      <w:r w:rsidRPr="009C0164">
        <w:rPr>
          <w:rFonts w:ascii="Times New Roman" w:hAnsi="Times New Roman" w:cs="Times New Roman"/>
          <w:bCs/>
          <w:i/>
        </w:rPr>
        <w:t>p</w:t>
      </w:r>
      <w:r w:rsidRPr="009C0164">
        <w:rPr>
          <w:rFonts w:ascii="Times New Roman" w:hAnsi="Times New Roman" w:cs="Times New Roman"/>
          <w:bCs/>
        </w:rPr>
        <w:t>=0,001) (Figura 7).</w:t>
      </w:r>
    </w:p>
    <w:p w:rsidR="002E37D5" w:rsidRPr="009C0164" w:rsidRDefault="002E37D5" w:rsidP="009C0164">
      <w:pPr>
        <w:autoSpaceDE w:val="0"/>
        <w:autoSpaceDN w:val="0"/>
        <w:adjustRightInd w:val="0"/>
        <w:spacing w:before="120" w:after="120" w:line="240" w:lineRule="auto"/>
        <w:ind w:firstLine="709"/>
        <w:jc w:val="both"/>
        <w:rPr>
          <w:rFonts w:ascii="Times New Roman" w:hAnsi="Times New Roman" w:cs="Times New Roman"/>
          <w:bCs/>
        </w:rPr>
      </w:pPr>
    </w:p>
    <w:p w:rsidR="00EC392E" w:rsidRPr="009C0164" w:rsidRDefault="00EC392E" w:rsidP="00BB5FB3">
      <w:pPr>
        <w:autoSpaceDE w:val="0"/>
        <w:autoSpaceDN w:val="0"/>
        <w:adjustRightInd w:val="0"/>
        <w:spacing w:before="120" w:after="120" w:line="240" w:lineRule="auto"/>
        <w:jc w:val="center"/>
        <w:rPr>
          <w:rFonts w:ascii="Times New Roman" w:hAnsi="Times New Roman" w:cs="Times New Roman"/>
          <w:bCs/>
        </w:rPr>
      </w:pPr>
      <w:r w:rsidRPr="009C0164">
        <w:rPr>
          <w:rFonts w:ascii="Times New Roman" w:hAnsi="Times New Roman" w:cs="Times New Roman"/>
          <w:bCs/>
          <w:noProof/>
        </w:rPr>
        <w:drawing>
          <wp:inline distT="0" distB="0" distL="0" distR="0">
            <wp:extent cx="5532951" cy="3907029"/>
            <wp:effectExtent l="19050" t="19050" r="10795" b="1778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_MAPA_ESCALA_DE_RISC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59483" cy="3925764"/>
                    </a:xfrm>
                    <a:prstGeom prst="rect">
                      <a:avLst/>
                    </a:prstGeom>
                    <a:ln w="3175">
                      <a:solidFill>
                        <a:schemeClr val="tx1"/>
                      </a:solidFill>
                    </a:ln>
                  </pic:spPr>
                </pic:pic>
              </a:graphicData>
            </a:graphic>
          </wp:inline>
        </w:drawing>
      </w:r>
    </w:p>
    <w:p w:rsidR="00A97F42" w:rsidRPr="009C0164" w:rsidRDefault="00A97F42" w:rsidP="002E37D5">
      <w:pPr>
        <w:autoSpaceDE w:val="0"/>
        <w:autoSpaceDN w:val="0"/>
        <w:adjustRightInd w:val="0"/>
        <w:spacing w:before="120" w:after="120" w:line="240" w:lineRule="auto"/>
        <w:jc w:val="both"/>
        <w:rPr>
          <w:rFonts w:ascii="Times New Roman" w:hAnsi="Times New Roman" w:cs="Times New Roman"/>
          <w:bCs/>
        </w:rPr>
      </w:pPr>
      <w:r w:rsidRPr="009C0164">
        <w:rPr>
          <w:rFonts w:ascii="Times New Roman" w:hAnsi="Times New Roman" w:cs="Times New Roman"/>
          <w:bCs/>
        </w:rPr>
        <w:t>Figura 7.</w:t>
      </w:r>
      <w:r w:rsidR="00EC392E" w:rsidRPr="009C0164">
        <w:rPr>
          <w:rFonts w:ascii="Times New Roman" w:hAnsi="Times New Roman" w:cs="Times New Roman"/>
          <w:bCs/>
        </w:rPr>
        <w:t xml:space="preserve"> Grau de suscetibilidade para Doenças de Transmissão Hídrica e Alimentar, Rio Grande do Sul.</w:t>
      </w:r>
    </w:p>
    <w:p w:rsidR="00D10741" w:rsidRDefault="00D10741" w:rsidP="002E37D5">
      <w:pPr>
        <w:autoSpaceDE w:val="0"/>
        <w:autoSpaceDN w:val="0"/>
        <w:adjustRightInd w:val="0"/>
        <w:spacing w:before="120" w:after="120" w:line="240" w:lineRule="auto"/>
        <w:ind w:firstLine="709"/>
        <w:jc w:val="both"/>
        <w:rPr>
          <w:rFonts w:ascii="Times New Roman" w:hAnsi="Times New Roman" w:cs="Times New Roman"/>
          <w:bCs/>
        </w:rPr>
      </w:pPr>
    </w:p>
    <w:p w:rsidR="00D10741" w:rsidRDefault="00D10741" w:rsidP="002E37D5">
      <w:pPr>
        <w:autoSpaceDE w:val="0"/>
        <w:autoSpaceDN w:val="0"/>
        <w:adjustRightInd w:val="0"/>
        <w:spacing w:before="120" w:after="120" w:line="240" w:lineRule="auto"/>
        <w:ind w:firstLine="709"/>
        <w:jc w:val="both"/>
        <w:rPr>
          <w:rFonts w:ascii="Times New Roman" w:hAnsi="Times New Roman" w:cs="Times New Roman"/>
          <w:bCs/>
        </w:rPr>
        <w:sectPr w:rsidR="00D10741" w:rsidSect="00AC20E3">
          <w:footnotePr>
            <w:numFmt w:val="lowerLetter"/>
          </w:footnotePr>
          <w:type w:val="continuous"/>
          <w:pgSz w:w="11906" w:h="16838"/>
          <w:pgMar w:top="1134" w:right="1134" w:bottom="1134" w:left="1134" w:header="567" w:footer="567" w:gutter="0"/>
          <w:cols w:space="708"/>
          <w:docGrid w:linePitch="360"/>
        </w:sectPr>
      </w:pPr>
    </w:p>
    <w:p w:rsidR="002E37D5" w:rsidRPr="00524907" w:rsidRDefault="00C52A32" w:rsidP="002E37D5">
      <w:pPr>
        <w:autoSpaceDE w:val="0"/>
        <w:autoSpaceDN w:val="0"/>
        <w:adjustRightInd w:val="0"/>
        <w:spacing w:before="120" w:after="120" w:line="240" w:lineRule="auto"/>
        <w:ind w:firstLine="709"/>
        <w:jc w:val="both"/>
        <w:rPr>
          <w:rFonts w:ascii="Times New Roman" w:hAnsi="Times New Roman" w:cs="Times New Roman"/>
          <w:bCs/>
        </w:rPr>
      </w:pPr>
      <w:r w:rsidRPr="009C0164">
        <w:rPr>
          <w:rFonts w:ascii="Times New Roman" w:hAnsi="Times New Roman" w:cs="Times New Roman"/>
          <w:bCs/>
        </w:rPr>
        <w:t>Embora é notória a preocupação em</w:t>
      </w:r>
      <w:r w:rsidR="00F52DED">
        <w:rPr>
          <w:rFonts w:ascii="Times New Roman" w:hAnsi="Times New Roman" w:cs="Times New Roman"/>
          <w:bCs/>
        </w:rPr>
        <w:t xml:space="preserve"> relação ao risco de exposição à</w:t>
      </w:r>
      <w:r w:rsidRPr="009C0164">
        <w:rPr>
          <w:rFonts w:ascii="Times New Roman" w:hAnsi="Times New Roman" w:cs="Times New Roman"/>
          <w:bCs/>
        </w:rPr>
        <w:t>s DTHA</w:t>
      </w:r>
      <w:r w:rsidR="00D85F42">
        <w:rPr>
          <w:rFonts w:ascii="Times New Roman" w:hAnsi="Times New Roman" w:cs="Times New Roman"/>
          <w:bCs/>
        </w:rPr>
        <w:t xml:space="preserve">, bem como, </w:t>
      </w:r>
      <w:r w:rsidRPr="009C0164">
        <w:rPr>
          <w:rFonts w:ascii="Times New Roman" w:hAnsi="Times New Roman" w:cs="Times New Roman"/>
          <w:bCs/>
        </w:rPr>
        <w:t>à saúde ecológica do planeta, estudo</w:t>
      </w:r>
      <w:r w:rsidR="00D85F42">
        <w:rPr>
          <w:rFonts w:ascii="Times New Roman" w:hAnsi="Times New Roman" w:cs="Times New Roman"/>
          <w:bCs/>
        </w:rPr>
        <w:t>s</w:t>
      </w:r>
      <w:r w:rsidRPr="009C0164">
        <w:rPr>
          <w:rFonts w:ascii="Times New Roman" w:hAnsi="Times New Roman" w:cs="Times New Roman"/>
          <w:bCs/>
        </w:rPr>
        <w:t xml:space="preserve"> indica</w:t>
      </w:r>
      <w:r w:rsidR="00D85F42">
        <w:rPr>
          <w:rFonts w:ascii="Times New Roman" w:hAnsi="Times New Roman" w:cs="Times New Roman"/>
          <w:bCs/>
        </w:rPr>
        <w:t>m</w:t>
      </w:r>
      <w:r w:rsidRPr="009C0164">
        <w:rPr>
          <w:rFonts w:ascii="Times New Roman" w:hAnsi="Times New Roman" w:cs="Times New Roman"/>
          <w:bCs/>
        </w:rPr>
        <w:t xml:space="preserve"> um devir ecológico estabelecendo-se, principalmente</w:t>
      </w:r>
      <w:r w:rsidR="00D85F42">
        <w:rPr>
          <w:rFonts w:ascii="Times New Roman" w:hAnsi="Times New Roman" w:cs="Times New Roman"/>
          <w:bCs/>
        </w:rPr>
        <w:t>,</w:t>
      </w:r>
      <w:r w:rsidRPr="009C0164">
        <w:rPr>
          <w:rFonts w:ascii="Times New Roman" w:hAnsi="Times New Roman" w:cs="Times New Roman"/>
          <w:bCs/>
        </w:rPr>
        <w:t xml:space="preserve"> através do aumento </w:t>
      </w:r>
      <w:r w:rsidR="005945CF">
        <w:rPr>
          <w:rFonts w:ascii="Times New Roman" w:hAnsi="Times New Roman" w:cs="Times New Roman"/>
          <w:bCs/>
        </w:rPr>
        <w:t>de</w:t>
      </w:r>
      <w:r w:rsidRPr="009C0164">
        <w:rPr>
          <w:rFonts w:ascii="Times New Roman" w:hAnsi="Times New Roman" w:cs="Times New Roman"/>
          <w:bCs/>
        </w:rPr>
        <w:t xml:space="preserve"> iniciativas ecologicamente corretas, como por exemplo, as relacionadas às cidades inteligentes. O urbanismo ecológico fundamenta-se enquanto uma alternativa promissora na proteção da saúde humana e do planeta. Essa iniciativa busca a sustentabilidade urbana e a desconstrução da lógica antiga que associa o território urbano com as piores situações de saúde, que refletem no risco elevado para cólera e doenças infecciosas (</w:t>
      </w:r>
      <w:r w:rsidRPr="00524907">
        <w:rPr>
          <w:rFonts w:ascii="Times New Roman" w:hAnsi="Times New Roman" w:cs="Times New Roman"/>
          <w:bCs/>
        </w:rPr>
        <w:t>Fajersztajn et al., 2016).</w:t>
      </w:r>
    </w:p>
    <w:p w:rsidR="00B010DE" w:rsidRDefault="00B010DE" w:rsidP="002F51FD">
      <w:pPr>
        <w:autoSpaceDE w:val="0"/>
        <w:autoSpaceDN w:val="0"/>
        <w:adjustRightInd w:val="0"/>
        <w:spacing w:before="120" w:after="120" w:line="240" w:lineRule="auto"/>
        <w:jc w:val="both"/>
        <w:rPr>
          <w:rFonts w:ascii="Times New Roman" w:hAnsi="Times New Roman" w:cs="Times New Roman"/>
          <w:b/>
          <w:bCs/>
        </w:rPr>
      </w:pPr>
    </w:p>
    <w:p w:rsidR="00B010DE" w:rsidRDefault="00B010DE" w:rsidP="002F51FD">
      <w:pPr>
        <w:autoSpaceDE w:val="0"/>
        <w:autoSpaceDN w:val="0"/>
        <w:adjustRightInd w:val="0"/>
        <w:spacing w:before="120" w:after="120" w:line="240" w:lineRule="auto"/>
        <w:jc w:val="both"/>
        <w:rPr>
          <w:rFonts w:ascii="Times New Roman" w:hAnsi="Times New Roman" w:cs="Times New Roman"/>
          <w:b/>
          <w:bCs/>
        </w:rPr>
      </w:pPr>
    </w:p>
    <w:p w:rsidR="002F51FD" w:rsidRPr="00524907" w:rsidRDefault="002F51FD" w:rsidP="002F51FD">
      <w:pPr>
        <w:autoSpaceDE w:val="0"/>
        <w:autoSpaceDN w:val="0"/>
        <w:adjustRightInd w:val="0"/>
        <w:spacing w:before="120" w:after="120" w:line="240" w:lineRule="auto"/>
        <w:jc w:val="both"/>
        <w:rPr>
          <w:rFonts w:ascii="Times New Roman" w:hAnsi="Times New Roman" w:cs="Times New Roman"/>
          <w:b/>
          <w:bCs/>
        </w:rPr>
      </w:pPr>
      <w:r w:rsidRPr="00524907">
        <w:rPr>
          <w:rFonts w:ascii="Times New Roman" w:hAnsi="Times New Roman" w:cs="Times New Roman"/>
          <w:b/>
          <w:bCs/>
        </w:rPr>
        <w:t>Conclusões</w:t>
      </w:r>
    </w:p>
    <w:p w:rsidR="003963FE" w:rsidRDefault="00773609" w:rsidP="003963FE">
      <w:pPr>
        <w:autoSpaceDE w:val="0"/>
        <w:autoSpaceDN w:val="0"/>
        <w:adjustRightInd w:val="0"/>
        <w:spacing w:before="120" w:after="120" w:line="240" w:lineRule="auto"/>
        <w:ind w:firstLine="709"/>
        <w:jc w:val="both"/>
        <w:rPr>
          <w:rFonts w:ascii="Times New Roman" w:hAnsi="Times New Roman" w:cs="Times New Roman"/>
          <w:bCs/>
        </w:rPr>
      </w:pPr>
      <w:r w:rsidRPr="003963FE">
        <w:rPr>
          <w:rFonts w:ascii="Times New Roman" w:hAnsi="Times New Roman" w:cs="Times New Roman"/>
          <w:bCs/>
        </w:rPr>
        <w:t>Constata-se a existência de associação significativa</w:t>
      </w:r>
      <w:r w:rsidR="003963FE" w:rsidRPr="003963FE">
        <w:rPr>
          <w:rFonts w:ascii="Times New Roman" w:hAnsi="Times New Roman" w:cs="Times New Roman"/>
          <w:bCs/>
        </w:rPr>
        <w:t xml:space="preserve"> entre a destinação sanitária em esgoto com a mortalidade  e </w:t>
      </w:r>
      <w:r w:rsidR="00803530">
        <w:rPr>
          <w:rFonts w:ascii="Times New Roman" w:hAnsi="Times New Roman" w:cs="Times New Roman"/>
          <w:bCs/>
        </w:rPr>
        <w:t xml:space="preserve">com o coeficiente de internação </w:t>
      </w:r>
      <w:r w:rsidR="003963FE" w:rsidRPr="003963FE">
        <w:rPr>
          <w:rFonts w:ascii="Times New Roman" w:hAnsi="Times New Roman" w:cs="Times New Roman"/>
          <w:bCs/>
        </w:rPr>
        <w:t xml:space="preserve">por DTHA. Indica-se, também, associação significativa, porém fraca, entre a destinação de fezes e urina a céu aberto com a mortalidade e </w:t>
      </w:r>
      <w:r w:rsidR="00803530">
        <w:rPr>
          <w:rFonts w:ascii="Times New Roman" w:hAnsi="Times New Roman" w:cs="Times New Roman"/>
          <w:bCs/>
        </w:rPr>
        <w:t xml:space="preserve">com o coeficiente de internação </w:t>
      </w:r>
      <w:r w:rsidR="003963FE" w:rsidRPr="009C0164">
        <w:rPr>
          <w:rFonts w:ascii="Times New Roman" w:hAnsi="Times New Roman" w:cs="Times New Roman"/>
          <w:bCs/>
        </w:rPr>
        <w:t>por DTHA.</w:t>
      </w:r>
    </w:p>
    <w:p w:rsidR="003963FE" w:rsidRDefault="00BD097F" w:rsidP="003963FE">
      <w:pPr>
        <w:autoSpaceDE w:val="0"/>
        <w:autoSpaceDN w:val="0"/>
        <w:adjustRightInd w:val="0"/>
        <w:spacing w:before="120" w:after="120" w:line="240" w:lineRule="auto"/>
        <w:ind w:firstLine="709"/>
        <w:jc w:val="both"/>
        <w:rPr>
          <w:rFonts w:ascii="Times New Roman" w:hAnsi="Times New Roman" w:cs="Times New Roman"/>
          <w:bCs/>
        </w:rPr>
      </w:pPr>
      <w:r>
        <w:rPr>
          <w:rFonts w:ascii="Times New Roman" w:hAnsi="Times New Roman" w:cs="Times New Roman"/>
          <w:bCs/>
        </w:rPr>
        <w:t>A análise de correlação espacial indicou independência espacial significativa para todas as variáveis analisadas, exceto para água para consumo humano sem tratamento e formas não convencionais de abastecimento de água.</w:t>
      </w:r>
    </w:p>
    <w:p w:rsidR="00526DA4" w:rsidRDefault="00BD097F" w:rsidP="00526DA4">
      <w:pPr>
        <w:autoSpaceDE w:val="0"/>
        <w:autoSpaceDN w:val="0"/>
        <w:adjustRightInd w:val="0"/>
        <w:spacing w:before="120" w:after="120" w:line="240" w:lineRule="auto"/>
        <w:ind w:firstLine="709"/>
        <w:jc w:val="both"/>
        <w:rPr>
          <w:rFonts w:ascii="Times New Roman" w:hAnsi="Times New Roman" w:cs="Times New Roman"/>
          <w:bCs/>
        </w:rPr>
      </w:pPr>
      <w:r w:rsidRPr="006E0356">
        <w:rPr>
          <w:rFonts w:ascii="Times New Roman" w:hAnsi="Times New Roman" w:cs="Times New Roman"/>
          <w:bCs/>
        </w:rPr>
        <w:lastRenderedPageBreak/>
        <w:t xml:space="preserve">Apresentam-se os </w:t>
      </w:r>
      <w:r w:rsidR="00773609" w:rsidRPr="006E0356">
        <w:rPr>
          <w:rFonts w:ascii="Times New Roman" w:hAnsi="Times New Roman" w:cs="Times New Roman"/>
          <w:bCs/>
        </w:rPr>
        <w:t xml:space="preserve">municípios com grau máximo </w:t>
      </w:r>
      <w:r w:rsidRPr="006E0356">
        <w:rPr>
          <w:rFonts w:ascii="Times New Roman" w:hAnsi="Times New Roman" w:cs="Times New Roman"/>
          <w:bCs/>
        </w:rPr>
        <w:t xml:space="preserve">de suscetibilidade para as DTHA, através do cálculo de risco e da apresentação da distribuição espacial dos resultados em mapa temático. Reitera-se a notória relevância da análise das áreas mais suscetíveis aos eventos de </w:t>
      </w:r>
      <w:r w:rsidRPr="006E0356">
        <w:rPr>
          <w:rFonts w:ascii="Times New Roman" w:hAnsi="Times New Roman" w:cs="Times New Roman"/>
          <w:bCs/>
        </w:rPr>
        <w:t>morbimortalidade, uma vez que possibilita o planejamento e exe</w:t>
      </w:r>
      <w:r w:rsidR="00526DA4" w:rsidRPr="006E0356">
        <w:rPr>
          <w:rFonts w:ascii="Times New Roman" w:hAnsi="Times New Roman" w:cs="Times New Roman"/>
          <w:bCs/>
        </w:rPr>
        <w:t>cução de</w:t>
      </w:r>
      <w:r w:rsidRPr="006E0356">
        <w:rPr>
          <w:rFonts w:ascii="Times New Roman" w:hAnsi="Times New Roman" w:cs="Times New Roman"/>
          <w:bCs/>
        </w:rPr>
        <w:t xml:space="preserve"> ações emergentes</w:t>
      </w:r>
      <w:r w:rsidR="006E0356">
        <w:rPr>
          <w:rFonts w:ascii="Times New Roman" w:hAnsi="Times New Roman" w:cs="Times New Roman"/>
          <w:bCs/>
        </w:rPr>
        <w:t>.</w:t>
      </w:r>
    </w:p>
    <w:p w:rsidR="00D20799" w:rsidRDefault="00D20799" w:rsidP="00526DA4">
      <w:pPr>
        <w:autoSpaceDE w:val="0"/>
        <w:autoSpaceDN w:val="0"/>
        <w:adjustRightInd w:val="0"/>
        <w:spacing w:before="120" w:after="120" w:line="240" w:lineRule="auto"/>
        <w:jc w:val="both"/>
        <w:rPr>
          <w:rFonts w:ascii="Times New Roman" w:hAnsi="Times New Roman" w:cs="Times New Roman"/>
          <w:b/>
          <w:bCs/>
        </w:rPr>
      </w:pPr>
    </w:p>
    <w:p w:rsidR="002E37D5" w:rsidRPr="00526DA4" w:rsidRDefault="00AB5539" w:rsidP="00526DA4">
      <w:pPr>
        <w:autoSpaceDE w:val="0"/>
        <w:autoSpaceDN w:val="0"/>
        <w:adjustRightInd w:val="0"/>
        <w:spacing w:before="120" w:after="120" w:line="240" w:lineRule="auto"/>
        <w:jc w:val="both"/>
        <w:rPr>
          <w:rFonts w:ascii="Times New Roman" w:hAnsi="Times New Roman" w:cs="Times New Roman"/>
          <w:bCs/>
        </w:rPr>
      </w:pPr>
      <w:r w:rsidRPr="00524907">
        <w:rPr>
          <w:rFonts w:ascii="Times New Roman" w:hAnsi="Times New Roman" w:cs="Times New Roman"/>
          <w:b/>
          <w:bCs/>
        </w:rPr>
        <w:t>Agradecimentos</w:t>
      </w:r>
    </w:p>
    <w:p w:rsidR="002E78FC" w:rsidRPr="00524907" w:rsidRDefault="002E78FC" w:rsidP="002E78FC">
      <w:pPr>
        <w:autoSpaceDE w:val="0"/>
        <w:autoSpaceDN w:val="0"/>
        <w:adjustRightInd w:val="0"/>
        <w:spacing w:before="120" w:after="120" w:line="240" w:lineRule="auto"/>
        <w:ind w:firstLine="709"/>
        <w:jc w:val="both"/>
        <w:rPr>
          <w:rFonts w:ascii="Times New Roman" w:hAnsi="Times New Roman" w:cs="Times New Roman"/>
          <w:bCs/>
        </w:rPr>
        <w:sectPr w:rsidR="002E78FC" w:rsidRPr="00524907" w:rsidSect="00D10741">
          <w:footnotePr>
            <w:numFmt w:val="lowerLetter"/>
          </w:footnotePr>
          <w:type w:val="continuous"/>
          <w:pgSz w:w="11906" w:h="16838"/>
          <w:pgMar w:top="1134" w:right="1134" w:bottom="1134" w:left="1134" w:header="567" w:footer="567" w:gutter="0"/>
          <w:cols w:num="2" w:space="708"/>
          <w:docGrid w:linePitch="360"/>
        </w:sectPr>
      </w:pPr>
    </w:p>
    <w:p w:rsidR="00E8574F" w:rsidRPr="00524907" w:rsidRDefault="00AB5539" w:rsidP="002E78FC">
      <w:pPr>
        <w:autoSpaceDE w:val="0"/>
        <w:autoSpaceDN w:val="0"/>
        <w:adjustRightInd w:val="0"/>
        <w:spacing w:before="120" w:after="120" w:line="240" w:lineRule="auto"/>
        <w:ind w:firstLine="709"/>
        <w:jc w:val="both"/>
        <w:rPr>
          <w:rFonts w:ascii="Times New Roman" w:hAnsi="Times New Roman" w:cs="Times New Roman"/>
          <w:bCs/>
        </w:rPr>
        <w:sectPr w:rsidR="00E8574F" w:rsidRPr="00524907" w:rsidSect="00E8574F">
          <w:footnotePr>
            <w:numFmt w:val="lowerLetter"/>
          </w:footnotePr>
          <w:type w:val="continuous"/>
          <w:pgSz w:w="11906" w:h="16838"/>
          <w:pgMar w:top="1134" w:right="1134" w:bottom="1134" w:left="1134" w:header="567" w:footer="567" w:gutter="0"/>
          <w:cols w:num="2" w:space="708"/>
          <w:docGrid w:linePitch="360"/>
        </w:sectPr>
      </w:pPr>
      <w:r w:rsidRPr="00524907">
        <w:rPr>
          <w:rFonts w:ascii="Times New Roman" w:hAnsi="Times New Roman" w:cs="Times New Roman"/>
          <w:bCs/>
        </w:rPr>
        <w:t xml:space="preserve">O presente trabalho foi realizado com apoio da Coordenação de Aperfeiçoamento de </w:t>
      </w:r>
      <w:r w:rsidRPr="00524907">
        <w:rPr>
          <w:rFonts w:ascii="Times New Roman" w:hAnsi="Times New Roman" w:cs="Times New Roman"/>
          <w:bCs/>
        </w:rPr>
        <w:t>Pessoal de Nível Superior - Brasil (CAPES) - Código de Financiamento 001</w:t>
      </w:r>
      <w:r w:rsidR="00D10741" w:rsidRPr="00524907">
        <w:rPr>
          <w:rFonts w:ascii="Times New Roman" w:hAnsi="Times New Roman" w:cs="Times New Roman"/>
          <w:bCs/>
        </w:rPr>
        <w:t>.</w:t>
      </w:r>
    </w:p>
    <w:p w:rsidR="00526DA4" w:rsidRPr="00524907" w:rsidRDefault="00526DA4" w:rsidP="002E78FC">
      <w:pPr>
        <w:autoSpaceDE w:val="0"/>
        <w:autoSpaceDN w:val="0"/>
        <w:adjustRightInd w:val="0"/>
        <w:spacing w:before="120" w:after="120" w:line="240" w:lineRule="auto"/>
        <w:ind w:firstLine="709"/>
        <w:jc w:val="both"/>
        <w:rPr>
          <w:rFonts w:ascii="Times New Roman" w:hAnsi="Times New Roman" w:cs="Times New Roman"/>
          <w:bCs/>
        </w:rPr>
      </w:pPr>
    </w:p>
    <w:p w:rsidR="002E78FC" w:rsidRPr="00524907" w:rsidRDefault="002E78FC" w:rsidP="002E78FC">
      <w:pPr>
        <w:autoSpaceDE w:val="0"/>
        <w:autoSpaceDN w:val="0"/>
        <w:adjustRightInd w:val="0"/>
        <w:spacing w:before="120" w:after="120" w:line="240" w:lineRule="auto"/>
        <w:ind w:firstLine="709"/>
        <w:jc w:val="both"/>
        <w:rPr>
          <w:rFonts w:ascii="Times New Roman" w:hAnsi="Times New Roman" w:cs="Times New Roman"/>
          <w:bCs/>
        </w:rPr>
        <w:sectPr w:rsidR="002E78FC" w:rsidRPr="00524907" w:rsidSect="002E78FC">
          <w:footnotePr>
            <w:numFmt w:val="lowerLetter"/>
          </w:footnotePr>
          <w:type w:val="continuous"/>
          <w:pgSz w:w="11906" w:h="16838"/>
          <w:pgMar w:top="1134" w:right="1134" w:bottom="1134" w:left="1134" w:header="567" w:footer="567" w:gutter="0"/>
          <w:cols w:space="708"/>
          <w:docGrid w:linePitch="360"/>
        </w:sectPr>
      </w:pPr>
    </w:p>
    <w:p w:rsidR="00EC392E" w:rsidRPr="006F19A6" w:rsidRDefault="00AB5539" w:rsidP="00C01510">
      <w:pPr>
        <w:autoSpaceDE w:val="0"/>
        <w:autoSpaceDN w:val="0"/>
        <w:adjustRightInd w:val="0"/>
        <w:spacing w:before="120" w:after="120" w:line="240" w:lineRule="auto"/>
        <w:jc w:val="both"/>
        <w:rPr>
          <w:rFonts w:ascii="Times New Roman" w:hAnsi="Times New Roman" w:cs="Times New Roman"/>
          <w:b/>
          <w:bCs/>
        </w:rPr>
      </w:pPr>
      <w:r w:rsidRPr="006F19A6">
        <w:rPr>
          <w:rFonts w:ascii="Times New Roman" w:hAnsi="Times New Roman" w:cs="Times New Roman"/>
          <w:b/>
          <w:bCs/>
        </w:rPr>
        <w:t>Referências</w:t>
      </w:r>
    </w:p>
    <w:p w:rsidR="008B030B" w:rsidRPr="006E78AB" w:rsidRDefault="008B030B" w:rsidP="00C01510">
      <w:pPr>
        <w:autoSpaceDE w:val="0"/>
        <w:autoSpaceDN w:val="0"/>
        <w:adjustRightInd w:val="0"/>
        <w:spacing w:before="120" w:after="120" w:line="240" w:lineRule="auto"/>
        <w:ind w:left="426" w:hanging="426"/>
        <w:jc w:val="both"/>
        <w:rPr>
          <w:rFonts w:ascii="Times New Roman" w:hAnsi="Times New Roman" w:cs="Times New Roman"/>
          <w:bCs/>
          <w:lang w:val="en-US"/>
        </w:rPr>
      </w:pPr>
      <w:r w:rsidRPr="008B030B">
        <w:rPr>
          <w:rFonts w:ascii="Times New Roman" w:hAnsi="Times New Roman" w:cs="Times New Roman"/>
          <w:bCs/>
        </w:rPr>
        <w:t xml:space="preserve">Angelini, M., Stehling, E.G., Moretti, M.L., Silveira, W.D., 2009. </w:t>
      </w:r>
      <w:r w:rsidRPr="006E78AB">
        <w:rPr>
          <w:rFonts w:ascii="Times New Roman" w:hAnsi="Times New Roman" w:cs="Times New Roman"/>
          <w:bCs/>
          <w:lang w:val="en-US"/>
        </w:rPr>
        <w:t>Molecular epidemiology of Shigella spp strains isolated in two different metropolitam areas of southeast Brazil. Brazilian Journal of Microbiology [online] 40. Disponível: http://www.scielo.br/scielo.php?script=sci_arttext&amp;pid=S1517-83822009000300034&amp;lng=en.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6E78AB">
        <w:rPr>
          <w:rFonts w:ascii="Times New Roman" w:hAnsi="Times New Roman" w:cs="Times New Roman"/>
          <w:bCs/>
          <w:lang w:val="en-US"/>
        </w:rPr>
        <w:t xml:space="preserve">Araújo, G.F.R., Alves, R.I..S., Tonani, K.A.A., Ragazzi, M.F., Julião, F.C., Sampaio, C.F., Cardoso, O.O., Segura-Muñoz, S.I., 2011. </w:t>
      </w:r>
      <w:r w:rsidRPr="008B030B">
        <w:rPr>
          <w:rFonts w:ascii="Times New Roman" w:hAnsi="Times New Roman" w:cs="Times New Roman"/>
          <w:bCs/>
        </w:rPr>
        <w:t>Qualidade físico-química e microbiológica da água para o consumo humano e a relação com a saúde: estudo em uma comunidade rural no estado de São Paulo. O Mundo da Saúde [online] 35. Disponível: http://bvsms.saude.gov.br/bvs/artigos/qualidade_fisico_quimica_microbiologica_%C3%A1gua_consumo_humano.pdf. Acesso: 23 abr. 2019.</w:t>
      </w:r>
    </w:p>
    <w:p w:rsid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2197A">
        <w:rPr>
          <w:rFonts w:ascii="Times New Roman" w:hAnsi="Times New Roman" w:cs="Times New Roman"/>
          <w:bCs/>
        </w:rPr>
        <w:t xml:space="preserve">Athayde Júnior, G.B., Nóbrega, C.C., Gadelha, C.L.M., Souza, I.M.F., Fagundes, G.S., 2009. Efeito do antigo Lixão do Roger, João Pessoa, Brasil, na qualidade da água subterrânea local. </w:t>
      </w:r>
      <w:r w:rsidRPr="00961770">
        <w:rPr>
          <w:rFonts w:ascii="Times New Roman" w:hAnsi="Times New Roman" w:cs="Times New Roman"/>
          <w:bCs/>
        </w:rPr>
        <w:t xml:space="preserve">Ambiente &amp; Água - An Interdisciplinary Journal of Applied Science [online] 4. </w:t>
      </w:r>
      <w:r w:rsidRPr="0082197A">
        <w:rPr>
          <w:rFonts w:ascii="Times New Roman" w:hAnsi="Times New Roman" w:cs="Times New Roman"/>
          <w:bCs/>
        </w:rPr>
        <w:t>Disponível em: http://www.ambi-agua.net/seer/index.php/ambi-agua/article/download/182/294.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Barcat, J.A., 2014. Filippo Pacini y el cólera, 1854. Medicina (Buenos Aires) [online] 74. Disponível: http://www.scielo.org.ar/scielo.php?script=sci_arttext&amp;pid=S0025-76802014000100018&amp;lng=es.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 xml:space="preserve">Borbolla, M., Cruz, L., Piña, O., Fuente, J., Garrido, S., 2003. Calidaddel agua en Tabasco. Saluden Tabasco [online] 9. </w:t>
      </w:r>
      <w:r w:rsidRPr="008B030B">
        <w:rPr>
          <w:rFonts w:ascii="Times New Roman" w:hAnsi="Times New Roman" w:cs="Times New Roman"/>
          <w:bCs/>
        </w:rPr>
        <w:t>Disponível: https://www.redalyc.org/articulo.oa?id=48709106.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Brasil, 2006. Vigilância e Controle da Qualidade da Água para Consumo Humano. Ministério da Saúde: Brasília. Disponível em: http://bvsms.saude.gov.br/bvs/publicacoes/vigilancia_controle_qualidade_agua.pdf.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Brasil, 2007. Introdução à Estatística Espacial para a Saúde Pública. Ministério da Saúde, Brasília. Disponível em: http://pesquisa.bvsalud.org/bvsms/resource/pt/mis-22623.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Brasil, 2011. Portaria nº 2.914, de 12 de dezembro de 2011. Dispõe sobre os procedimentos de controle e de vigilância da qualidade da água para consumo humano e seu padrão de potabilidade [online]. Disponível em: http://bvsms.saude.gov.br/bvs/saudelegis/gm/2011/prt2914_12_12_2011.html.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Brasil. Secretaria Nacional de Saneamento Ambiental - SNSA, 2007. Operação e manutenção de estações: abastecimento de água: guia do profissional em treinamento: nível 1 [online]. Belo Horizonte: ReCESA. Disponível em: http://nucase.desa.ufmg.br/wp-content/uploads/2013/04/AA-OMETA.1.pdf. Acesso: 27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Cavalcante, R.B.L., 2014. Ocorrência de Escherichia coli em fontes de água e pontos de consumo em uma comunidade rural. Revista Ambiente &amp; Água [online] 9. Disponível: http://www.scielo.br/scielo.php?script=sci_arttext&amp;pid=S1980-993X2014000300015&amp;lng=en&amp;nrm=iso&amp;tlng=pt.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 xml:space="preserve">Ciminelli, V.S.T., Barbosa, F.A.R., Tundisi, J.G., Duarte, H.A., 2014. Recursos Minerais, Água e Biodiversidade. Cadernos Temáticos de </w:t>
      </w:r>
      <w:r w:rsidRPr="008B030B">
        <w:rPr>
          <w:rFonts w:ascii="Times New Roman" w:hAnsi="Times New Roman" w:cs="Times New Roman"/>
          <w:bCs/>
        </w:rPr>
        <w:lastRenderedPageBreak/>
        <w:t>Química Nova na Escola [online], 8. Disponível: http://qnesc.sbq.org.br/online/cadernos/08/08-CTN6.pdf.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Coelho, M.I.S., Mendes, E.S., Cruz, M.C.S., Bezerra, S.S., Pinheiro, R.P., 2010. Avaliação da qualidade microbiológica de águas minerais consumidas na região metropolitana de Recife, Estado de Pernambuco. Acta Scientiarum - Health Sciences [online] 32. Disponível: http://periodicos.uem.br/ojs/index.php/ActaSciHealthSci/article/view/3837/3837.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Conselho Nacional do Meio Ambiente - CONAMA. Resolução nº 357, de 17 de março de 2005. Dispõe sobre a classificação dos corpos de água e diretrizes ambientais para o seu enquadramento, bem como estabelece as condições e padrões de lançamento de efluentes, e dá outras providências. Disponível em: http://www2.mma.gov.br/port/conama/res/res05/res35705.pdf.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Conselho Nacional do Meio Ambiente - CONAMA. Resolução nº 396, de 3 de abril de 2008. Dispõe sobre a classificação e diretrizes ambientais para o enquadramento das águas subterrâneas e dá outras providências. Disponível em: http://pnqa.ana.gov.br/Publicacao/RESOLU%C3%87%C3%83O%20CONAMA%20n%C2%BA%20396.pdf.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Cunha e Silva, D.C., Lourenco, R.W., Cordeiro, R.C., Cordeiro, M.R.D., 2014. Análise da relação entre a distribuição espacial das morbidades por obesidade e hipertensão arterial para o estado de São Paulo, Brasil, de 2000 a 2010. Ciência e saúde coletiva  [online] 19. Disponível em: http://www.scielo.br/scielo.php?script=sci_arttext&amp;pid=S1413-81232014000601709&amp;lng=pt. Acesso: 29 abr. 2019.</w:t>
      </w:r>
    </w:p>
    <w:p w:rsidR="008B030B" w:rsidRPr="006E78AB" w:rsidRDefault="008B030B" w:rsidP="00C01510">
      <w:pPr>
        <w:autoSpaceDE w:val="0"/>
        <w:autoSpaceDN w:val="0"/>
        <w:adjustRightInd w:val="0"/>
        <w:spacing w:before="120" w:after="120" w:line="240" w:lineRule="auto"/>
        <w:ind w:left="426" w:hanging="426"/>
        <w:jc w:val="both"/>
        <w:rPr>
          <w:rFonts w:ascii="Times New Roman" w:hAnsi="Times New Roman" w:cs="Times New Roman"/>
          <w:bCs/>
          <w:lang w:val="en-US"/>
        </w:rPr>
      </w:pPr>
      <w:r w:rsidRPr="008B030B">
        <w:rPr>
          <w:rFonts w:ascii="Times New Roman" w:hAnsi="Times New Roman" w:cs="Times New Roman"/>
          <w:bCs/>
        </w:rPr>
        <w:t xml:space="preserve">Fajersztajn, L., Alves, N.O., Coelho, M.S.Z.S., Veras, M.M., Saldiva, P.H.N., 2016. How can ecological urbanism promote human health?.URBE - Revista Brasileira de Gestão Urbana [online] 8. Disponível em: http://www.scielo.br/scielo.php?script=sci_arttext&amp;pid=S2175-33692016000100077&amp;lng=en&amp;nrm=iso&amp;tlng=en. </w:t>
      </w:r>
      <w:r w:rsidRPr="006E78AB">
        <w:rPr>
          <w:rFonts w:ascii="Times New Roman" w:hAnsi="Times New Roman" w:cs="Times New Roman"/>
          <w:bCs/>
          <w:lang w:val="en-US"/>
        </w:rPr>
        <w:t>Acesso: 23 abr. 2019.</w:t>
      </w:r>
    </w:p>
    <w:p w:rsidR="008B030B" w:rsidRPr="006E78AB" w:rsidRDefault="008B030B" w:rsidP="00C01510">
      <w:pPr>
        <w:autoSpaceDE w:val="0"/>
        <w:autoSpaceDN w:val="0"/>
        <w:adjustRightInd w:val="0"/>
        <w:spacing w:before="120" w:after="120" w:line="240" w:lineRule="auto"/>
        <w:ind w:left="426" w:hanging="426"/>
        <w:jc w:val="both"/>
        <w:rPr>
          <w:rFonts w:ascii="Times New Roman" w:hAnsi="Times New Roman" w:cs="Times New Roman"/>
          <w:bCs/>
          <w:lang w:val="en-US"/>
        </w:rPr>
      </w:pPr>
      <w:r w:rsidRPr="006E78AB">
        <w:rPr>
          <w:rFonts w:ascii="Times New Roman" w:hAnsi="Times New Roman" w:cs="Times New Roman"/>
          <w:bCs/>
          <w:lang w:val="en-US"/>
        </w:rPr>
        <w:t>Howard, T., 2000. Heavy Metals in the Environment. Using wetlands for their removal. Alemania: Lewis Publisher. p. 31-48.</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6E78AB">
        <w:rPr>
          <w:rFonts w:ascii="Times New Roman" w:hAnsi="Times New Roman" w:cs="Times New Roman"/>
          <w:bCs/>
          <w:lang w:val="en-US"/>
        </w:rPr>
        <w:t xml:space="preserve">Ishii, S., Sadowsky, M.J., 2008. Escherichia coli in the environment: Implications for water quality and human health. </w:t>
      </w:r>
      <w:r w:rsidRPr="008B030B">
        <w:rPr>
          <w:rFonts w:ascii="Times New Roman" w:hAnsi="Times New Roman" w:cs="Times New Roman"/>
          <w:bCs/>
        </w:rPr>
        <w:t>Microbes Environ [online] 23. Disponível em: https://www.jstage.jst.go.jp/article/jsme2/23/2/23_2_101/_pdf/-char/en.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 xml:space="preserve">Kieling-Rubio, M.A., Benvenuti, T., Costa, G.M., Petry, C.T. Rodrigues, M.A.S. Schmitt, J.L. Droste, A., 2015. </w:t>
      </w:r>
      <w:r w:rsidRPr="006E78AB">
        <w:rPr>
          <w:rFonts w:ascii="Times New Roman" w:hAnsi="Times New Roman" w:cs="Times New Roman"/>
          <w:bCs/>
          <w:lang w:val="en-US"/>
        </w:rPr>
        <w:t xml:space="preserve">Integrated Environmental Assessment of streams in the Sinos River basin in the state of Rio Grande do Sul, Brazil. Brazilian Journal of Biology [online] 75. Disponível em: http://www.scielo.br/scielo.php?script=sci_arttext&amp;pid=S1519-69842015000300018&amp;lng=en. </w:t>
      </w:r>
      <w:r w:rsidRPr="008B030B">
        <w:rPr>
          <w:rFonts w:ascii="Times New Roman" w:hAnsi="Times New Roman" w:cs="Times New Roman"/>
          <w:bCs/>
        </w:rPr>
        <w:t>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Libânio, P.A.C., Chernicharo, C.A.L., Nascimento, N.O., 2005. A dimensão da qualidade de água: avaliação da relação entre indicadores sociais, de disponibilidade hídrica, de saneamento e de saúde pública. Engenharia Sanitaria e Ambiental [online] 10. Disponível em: http://www.scielo.br/scielo.php?script=sci_arttext&amp;pid=S1413-41522005000300006&amp;lng=en&amp;nrm=iso&amp;tlng=pt. Acesso: 29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Machado, C.J.S., 2003. Recursos Hídricos e Cidadania no Brasil: Limites, Alternativas e Desafio. Ambiente &amp; Sociedade [online] 6. Disponível em: http://www.scielo.br/scielo.php?script=sci_arttext&amp;pid=S1414-753X2003000300008&amp;lng=en&amp;nrm=iso&amp;tlng=pt.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Mendes, M.P., Silva, N.G., Carvalho, J.C., Pereira, Junior, J., Diniz, V.B., 2016. Avaliação da qualidade da água dos bebedouros da Universidade do Estado do Pará na cidade de Belém Pará, Brasil [online] 12. Disponível em: https://www.scientiaplena.org.br/sp/article/view/3067.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 xml:space="preserve">Mendonça, M.H.M., Roseno, S.A.M., Cachoeira, T.R.L., Silva, Á.F.S., Jácome, P.R.L.A, Jácome Júnior, A.T., 2017. Análise bacteriológica da água de consumo </w:t>
      </w:r>
      <w:r w:rsidRPr="008B030B">
        <w:rPr>
          <w:rFonts w:ascii="Times New Roman" w:hAnsi="Times New Roman" w:cs="Times New Roman"/>
          <w:bCs/>
        </w:rPr>
        <w:lastRenderedPageBreak/>
        <w:t>comercializada por caminhões-pipa. Revista Ambiente &amp; Água [online] 12. Disponível em: http://www.scielo.br/scielo.php?script=sci_arttext&amp;pid=S1980-993X2017000300468&amp;lng=en&amp;nrm=iso&amp;tlng=pt. Acesso: 23 abr. 2019.</w:t>
      </w:r>
    </w:p>
    <w:p w:rsidR="008B030B" w:rsidRPr="006E78AB" w:rsidRDefault="008B030B" w:rsidP="00C01510">
      <w:pPr>
        <w:autoSpaceDE w:val="0"/>
        <w:autoSpaceDN w:val="0"/>
        <w:adjustRightInd w:val="0"/>
        <w:spacing w:before="120" w:after="120" w:line="240" w:lineRule="auto"/>
        <w:ind w:left="426" w:hanging="426"/>
        <w:jc w:val="both"/>
        <w:rPr>
          <w:rFonts w:ascii="Times New Roman" w:hAnsi="Times New Roman" w:cs="Times New Roman"/>
          <w:bCs/>
          <w:lang w:val="en-US"/>
        </w:rPr>
      </w:pPr>
      <w:r w:rsidRPr="008B030B">
        <w:rPr>
          <w:rFonts w:ascii="Times New Roman" w:hAnsi="Times New Roman" w:cs="Times New Roman"/>
          <w:bCs/>
        </w:rPr>
        <w:t xml:space="preserve">Müller, L.R., Parussolo, L. Qualidade microbiológica da água utilizada para consumo em escolas municipais de Mamborê, Paraná. SaBios Revista de Saúde e Biologia [online] 9. Disponível em: http://revista2.grupointegrado.br/revista/index.php/sabios2/article/view/1548. </w:t>
      </w:r>
      <w:r w:rsidRPr="006E78AB">
        <w:rPr>
          <w:rFonts w:ascii="Times New Roman" w:hAnsi="Times New Roman" w:cs="Times New Roman"/>
          <w:bCs/>
          <w:lang w:val="en-US"/>
        </w:rPr>
        <w:t>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6E78AB">
        <w:rPr>
          <w:rFonts w:ascii="Times New Roman" w:hAnsi="Times New Roman" w:cs="Times New Roman"/>
          <w:bCs/>
          <w:lang w:val="en-US"/>
        </w:rPr>
        <w:t xml:space="preserve">Novotny, V., 1995. Diffuse Sources of Pollution by Toxic Metals and Impact on Receiving Waters. </w:t>
      </w:r>
      <w:r w:rsidRPr="008B030B">
        <w:rPr>
          <w:rFonts w:ascii="Times New Roman" w:hAnsi="Times New Roman" w:cs="Times New Roman"/>
          <w:bCs/>
        </w:rPr>
        <w:t>Heavy Metals [online]. Disponível em: https://www.springer.com/gp/book/9783642793189.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Oliveira, G.A., Nascimento, E.L., Rosa, A.L.D., Lauthartte, L.C., Bastos, W.R., Barros, C.G.D., Cremonese, E.R., Bento, A.Q., Malm, O., Georgin, J., Corti, A.M., 2015. Avaliação da qualidade da água subterrânea: estudo de caso de Vilhena – RO. Revista Águas Subterrâneas [online]. Disponível em: https://aguassubterraneas.abas.org/asubterraneas/article/view/28399.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Organização das Nações Unidas - ONU. O Direito Humano à Água e Saneamento: Comunicado aos Média. Disponível em: http://www.un.org/waterforlifedecade/pdf/human_right_to_water_and_sanitation_media_brief_por.pdf.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Organización Mundial de la Salud - OMS, 2012. Se cumple la meta sobre agua potable del Objetivo de Desarrollo del Milenio: La meta de saneamiento sigue estando muy retrasada. Disponível em: http://www.who.int/mediacentre/news/releases/2012/drinking_water_20120306/es/.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Porto, L.C.S., Ethur, E.M., 2009. Elementos traço na água e em vísceras de peixes da Bacia Hidrográfica Butuí-Icamaquã, Rio Grande do Sul, Brasil. Revista Ciência Rural [online] 39. Disponível em: http://www.scielo.br/scielo.php?script=sci_arttext&amp;pid=S0103-84782009000900020&amp;lng=en&amp;nrm=iso&amp;tlng=pt.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Rodríguez, S., García, O., Muñoz, R., 2002. Una solución factible para la clarificación de aguas para consumo humano. Noticias Técnicas del Laboratorio [online] 1. Disponível em: http://www.labciencia.com/uploadverzeichnisse/downloads/artikel/2002/NTL102-254.pdf.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Rouquayrol, M.Z., Almeida Filho, N., 2003. Epidemiologia e saúde. Rio de Janeiro, Medsi.</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Sánchez-Martín, J., Alonso, J.J.B.H., Murillo, C.C., Pérez, P.G., 2011a. Absorbentes naturales a partir de taninos. Una propuesta de reutilización de residuos forestales para la purificación de aguas. Cuides. Cuaderno Interdisciplinar de Desarrollo Sostenible [online] 7. Disponível em: https://dialnet.unirioja.es/imagen/xicono_articulo.png.pagespeed.ic.3BiDQzXkIu.webp.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 xml:space="preserve">Sánchez-Martín, J., Beltrán-Heredia, J., Gibello-Pérez P., 2011b. </w:t>
      </w:r>
      <w:r w:rsidRPr="006E78AB">
        <w:rPr>
          <w:rFonts w:ascii="Times New Roman" w:hAnsi="Times New Roman" w:cs="Times New Roman"/>
          <w:bCs/>
          <w:lang w:val="en-US"/>
        </w:rPr>
        <w:t xml:space="preserve">Adsorbent biopolymers from tannin extracts for water treatment. Chemical Engineering Journal [online] 168. </w:t>
      </w:r>
      <w:r w:rsidRPr="008B030B">
        <w:rPr>
          <w:rFonts w:ascii="Times New Roman" w:hAnsi="Times New Roman" w:cs="Times New Roman"/>
          <w:bCs/>
        </w:rPr>
        <w:t>Disponível em: https://www.sciencedirect.com/science/article/pii/S1385894711001902. Acesso: 27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Santos, E.L.B., 1994. Avaliação de fatores de risco da amebíase invasiva (Entamoeba histolytica Shaudinn, 1903) em duas áreas sem saneamento básico, Jardim Roriz, DF e Vila da Barca, PA. Revista da Sociedade Brasileira de Medicina Tropical [online] 27. Disponível em: http://www.scielo.br/scielo.php?script=sci_arttext&amp;pid=S0037-86821994000100012&amp;lng=en. Acesso: 27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São Paulo, 2005. Investigação de surto de febre tifóide em Santos, SP, 2004. Revista de Saúde Pública [online] 39. Disponível em: http://www.scielo.br/scielo.php?script=sci_arttext&amp;pid=S0034-89102005000200027&amp;lng=en&amp;nrm=iso.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Silva, Á.F.S., Lima, C.A., Queiroz, J.J.F., Jácome, P.R.L.A., Jácome Júnior, A.T., 2016. Análise bacteriológica das águas de irrigação de horticulturas. Revista Ambiente &amp; Água [online] 11. Disponível em: http://www.scielo.br/scielo.php?script=sci_ar</w:t>
      </w:r>
      <w:r w:rsidRPr="008B030B">
        <w:rPr>
          <w:rFonts w:ascii="Times New Roman" w:hAnsi="Times New Roman" w:cs="Times New Roman"/>
          <w:bCs/>
        </w:rPr>
        <w:lastRenderedPageBreak/>
        <w:t>ttext&amp;pid=S1980-993X2016000200428&amp;lng=en&amp;nrm=iso&amp;tlng=pt. Acesso: 27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Soto, C., Reina, E., 2012. Análisis de la calidad del agua en la subcuenca del Río Coca. Coca, Ecuador: Secretaría Nacional del Agua [online]. Disponível em: https://www.agua.gob.ec/wp-content/uploads/downloads/2012/07/InformeCocaFinal1.pdf. Acesso: 27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Tarqui-Mamani, C., Alvarez-Dongo, D., Gómez-Guizado, G., Valenzuela-Vargas, R., Fernandez-Tinco, I., Espinoza-Oriundo, P., 2016. Calidad bacteriológica del agua para consumo en tres regiones del Perú. Revista de Salud Pública [online] 18. Disponível: http://www.scielo.org.co/scielo.php?pid=S0124-00642016000600904&amp;script=sci_abstract&amp;tlng=es. Acesso: 23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8B030B">
        <w:rPr>
          <w:rFonts w:ascii="Times New Roman" w:hAnsi="Times New Roman" w:cs="Times New Roman"/>
          <w:bCs/>
        </w:rPr>
        <w:t>Tucci, C.E.M., 2001. Gestão da água no Brasil. Brasília: UNESCO. Disponível em: http://r1.ufrrj.br/lmbh/pdf/Outras%20publica</w:t>
      </w:r>
      <w:r w:rsidR="00B010DE">
        <w:rPr>
          <w:rFonts w:ascii="Times New Roman" w:hAnsi="Times New Roman" w:cs="Times New Roman"/>
          <w:bCs/>
        </w:rPr>
        <w:br w:type="column"/>
      </w:r>
      <w:r w:rsidRPr="008B030B">
        <w:rPr>
          <w:rFonts w:ascii="Times New Roman" w:hAnsi="Times New Roman" w:cs="Times New Roman"/>
          <w:bCs/>
        </w:rPr>
        <w:t>coes/LMBH_gestao_da_agua_no_Brasil.pdf. Acesso: 27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6E78AB">
        <w:rPr>
          <w:rFonts w:ascii="Times New Roman" w:hAnsi="Times New Roman" w:cs="Times New Roman"/>
          <w:bCs/>
          <w:lang w:val="en-US"/>
        </w:rPr>
        <w:t xml:space="preserve">UNESCO, 2003. Water for people, water for life: The United Nations World Water Development Report [online]. </w:t>
      </w:r>
      <w:r w:rsidRPr="008B030B">
        <w:rPr>
          <w:rFonts w:ascii="Times New Roman" w:hAnsi="Times New Roman" w:cs="Times New Roman"/>
          <w:bCs/>
        </w:rPr>
        <w:t>Disponível em: https://unesdoc.unesco.org/ark:/48223/pf0000129556. Acesso: 27 abr. 2019.</w:t>
      </w:r>
    </w:p>
    <w:p w:rsidR="008B030B" w:rsidRPr="008B030B"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6E78AB">
        <w:rPr>
          <w:rFonts w:ascii="Times New Roman" w:hAnsi="Times New Roman" w:cs="Times New Roman"/>
          <w:bCs/>
          <w:lang w:val="en-US"/>
        </w:rPr>
        <w:t xml:space="preserve">UNESCO, 2015. The United Nations world water development report 2015: water for a sustainable world [online]. </w:t>
      </w:r>
      <w:r w:rsidRPr="008B030B">
        <w:rPr>
          <w:rFonts w:ascii="Times New Roman" w:hAnsi="Times New Roman" w:cs="Times New Roman"/>
          <w:bCs/>
        </w:rPr>
        <w:t>Disponível em: https://unesdoc.unesco.org/ark:/48223/pf0000231823. Acesso: 27 abr. 2019.</w:t>
      </w:r>
    </w:p>
    <w:p w:rsidR="008B030B" w:rsidRPr="0082197A" w:rsidRDefault="008B030B" w:rsidP="00C01510">
      <w:pPr>
        <w:autoSpaceDE w:val="0"/>
        <w:autoSpaceDN w:val="0"/>
        <w:adjustRightInd w:val="0"/>
        <w:spacing w:before="120" w:after="120" w:line="240" w:lineRule="auto"/>
        <w:ind w:left="426" w:hanging="426"/>
        <w:jc w:val="both"/>
        <w:rPr>
          <w:rFonts w:ascii="Times New Roman" w:hAnsi="Times New Roman" w:cs="Times New Roman"/>
          <w:bCs/>
        </w:rPr>
      </w:pPr>
      <w:r w:rsidRPr="006E78AB">
        <w:rPr>
          <w:rFonts w:ascii="Times New Roman" w:hAnsi="Times New Roman" w:cs="Times New Roman"/>
          <w:bCs/>
          <w:lang w:val="en-US"/>
        </w:rPr>
        <w:t xml:space="preserve">Wang, H., Masters, S., Edwards, M.A., Falkinham J.O., Pruden, A. Effect of disinfectant, water age, and pipe materials on bacterial and eukaryotic community structure in drinking water biofilm. Environmental Science and Technology [online] 48. Disponível em: https://pubs.acs.org/doi/10.1021/es402636u. </w:t>
      </w:r>
      <w:r w:rsidRPr="008B030B">
        <w:rPr>
          <w:rFonts w:ascii="Times New Roman" w:hAnsi="Times New Roman" w:cs="Times New Roman"/>
          <w:bCs/>
        </w:rPr>
        <w:t>Acesso: 27 abr. 2019.</w:t>
      </w:r>
    </w:p>
    <w:p w:rsidR="008A1070" w:rsidRPr="0082197A" w:rsidRDefault="008A1070" w:rsidP="00C01510">
      <w:pPr>
        <w:autoSpaceDE w:val="0"/>
        <w:autoSpaceDN w:val="0"/>
        <w:adjustRightInd w:val="0"/>
        <w:spacing w:before="120" w:after="120" w:line="240" w:lineRule="auto"/>
        <w:ind w:left="426" w:hanging="426"/>
        <w:jc w:val="both"/>
        <w:rPr>
          <w:rFonts w:ascii="Times New Roman" w:hAnsi="Times New Roman" w:cs="Times New Roman"/>
          <w:bCs/>
        </w:rPr>
      </w:pPr>
    </w:p>
    <w:sectPr w:rsidR="008A1070" w:rsidRPr="0082197A" w:rsidSect="00B010DE">
      <w:footnotePr>
        <w:numFmt w:val="lowerLetter"/>
      </w:footnotePr>
      <w:type w:val="continuous"/>
      <w:pgSz w:w="11906" w:h="16838"/>
      <w:pgMar w:top="1134" w:right="1134" w:bottom="1134" w:left="1134" w:header="567" w:footer="56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A0F" w:rsidRDefault="00866A0F" w:rsidP="004D249B">
      <w:pPr>
        <w:spacing w:after="0" w:line="240" w:lineRule="auto"/>
      </w:pPr>
      <w:r>
        <w:separator/>
      </w:r>
    </w:p>
  </w:endnote>
  <w:endnote w:type="continuationSeparator" w:id="0">
    <w:p w:rsidR="00866A0F" w:rsidRDefault="00866A0F" w:rsidP="004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9675978"/>
      <w:docPartObj>
        <w:docPartGallery w:val="Page Numbers (Bottom of Page)"/>
        <w:docPartUnique/>
      </w:docPartObj>
    </w:sdtPr>
    <w:sdtEndPr/>
    <w:sdtContent>
      <w:p w:rsidR="00B20A1C" w:rsidRPr="006900FA" w:rsidRDefault="00EE1D8F">
        <w:pPr>
          <w:pStyle w:val="Rodap"/>
          <w:jc w:val="right"/>
        </w:pPr>
        <w:r w:rsidRPr="006900FA">
          <w:rPr>
            <w:rFonts w:ascii="Times New Roman" w:hAnsi="Times New Roman" w:cs="Times New Roman"/>
          </w:rPr>
          <w:fldChar w:fldCharType="begin"/>
        </w:r>
        <w:r w:rsidR="00B20A1C" w:rsidRPr="006900FA">
          <w:rPr>
            <w:rFonts w:ascii="Times New Roman" w:hAnsi="Times New Roman" w:cs="Times New Roman"/>
          </w:rPr>
          <w:instrText xml:space="preserve"> PAGE   \* MERGEFORMAT </w:instrText>
        </w:r>
        <w:r w:rsidRPr="006900FA">
          <w:rPr>
            <w:rFonts w:ascii="Times New Roman" w:hAnsi="Times New Roman" w:cs="Times New Roman"/>
          </w:rPr>
          <w:fldChar w:fldCharType="separate"/>
        </w:r>
        <w:r w:rsidR="00B010DE">
          <w:rPr>
            <w:rFonts w:ascii="Times New Roman" w:hAnsi="Times New Roman" w:cs="Times New Roman"/>
            <w:noProof/>
          </w:rPr>
          <w:t>2376</w:t>
        </w:r>
        <w:r w:rsidRPr="006900FA">
          <w:rPr>
            <w:rFonts w:ascii="Times New Roman" w:hAnsi="Times New Roman" w:cs="Times New Roman"/>
          </w:rPr>
          <w:fldChar w:fldCharType="end"/>
        </w:r>
      </w:p>
    </w:sdtContent>
  </w:sdt>
  <w:p w:rsidR="00B010DE" w:rsidRPr="00B010DE" w:rsidRDefault="00B010DE" w:rsidP="00B010DE">
    <w:pPr>
      <w:spacing w:after="0"/>
      <w:rPr>
        <w:rFonts w:ascii="Times New Roman" w:hAnsi="Times New Roman" w:cs="Times New Roman"/>
        <w:i/>
        <w:color w:val="111111"/>
        <w:sz w:val="20"/>
        <w:szCs w:val="20"/>
        <w:shd w:val="clear" w:color="auto" w:fill="FBFBF3"/>
      </w:rPr>
    </w:pPr>
    <w:r w:rsidRPr="00B010DE">
      <w:rPr>
        <w:rFonts w:ascii="Times New Roman" w:hAnsi="Times New Roman" w:cs="Times New Roman"/>
        <w:i/>
        <w:color w:val="111111"/>
        <w:sz w:val="20"/>
        <w:szCs w:val="20"/>
        <w:shd w:val="clear" w:color="auto" w:fill="FBFBF3"/>
      </w:rPr>
      <w:t>Campos,</w:t>
    </w:r>
    <w:r w:rsidRPr="00B010DE">
      <w:rPr>
        <w:rFonts w:ascii="Times New Roman" w:hAnsi="Times New Roman" w:cs="Times New Roman"/>
        <w:i/>
        <w:color w:val="111111"/>
        <w:sz w:val="20"/>
        <w:szCs w:val="20"/>
        <w:shd w:val="clear" w:color="auto" w:fill="FBFBF3"/>
      </w:rPr>
      <w:t xml:space="preserve"> J.M.P.,</w:t>
    </w:r>
    <w:r w:rsidRPr="00B010DE">
      <w:rPr>
        <w:rFonts w:ascii="Times New Roman" w:hAnsi="Times New Roman" w:cs="Times New Roman"/>
        <w:i/>
        <w:color w:val="111111"/>
        <w:sz w:val="20"/>
        <w:szCs w:val="20"/>
        <w:shd w:val="clear" w:color="auto" w:fill="FBFBF3"/>
      </w:rPr>
      <w:t xml:space="preserve"> Périco, </w:t>
    </w:r>
    <w:r w:rsidRPr="00B010DE">
      <w:rPr>
        <w:rFonts w:ascii="Times New Roman" w:hAnsi="Times New Roman" w:cs="Times New Roman"/>
        <w:i/>
        <w:color w:val="111111"/>
        <w:sz w:val="20"/>
        <w:szCs w:val="20"/>
        <w:shd w:val="clear" w:color="auto" w:fill="FBFBF3"/>
      </w:rPr>
      <w:t xml:space="preserve">E., </w:t>
    </w:r>
    <w:r w:rsidRPr="00B010DE">
      <w:rPr>
        <w:rFonts w:ascii="Times New Roman" w:hAnsi="Times New Roman" w:cs="Times New Roman"/>
        <w:i/>
        <w:color w:val="111111"/>
        <w:sz w:val="20"/>
        <w:szCs w:val="20"/>
        <w:shd w:val="clear" w:color="auto" w:fill="FBFBF3"/>
      </w:rPr>
      <w:t>Silveira</w:t>
    </w:r>
    <w:r w:rsidRPr="00B010DE">
      <w:rPr>
        <w:rFonts w:ascii="Times New Roman" w:hAnsi="Times New Roman" w:cs="Times New Roman"/>
        <w:i/>
        <w:color w:val="111111"/>
        <w:sz w:val="20"/>
        <w:szCs w:val="20"/>
        <w:shd w:val="clear" w:color="auto" w:fill="FBFBF3"/>
      </w:rPr>
      <w:t>, E. F.</w:t>
    </w:r>
    <w:r w:rsidRPr="00B010DE">
      <w:rPr>
        <w:rFonts w:ascii="Times New Roman" w:hAnsi="Times New Roman" w:cs="Times New Roman"/>
        <w:i/>
        <w:color w:val="111111"/>
        <w:sz w:val="20"/>
        <w:szCs w:val="20"/>
        <w:shd w:val="clear" w:color="auto" w:fill="FBFBF3"/>
      </w:rPr>
      <w:t xml:space="preserve"> </w:t>
    </w:r>
  </w:p>
  <w:p w:rsidR="00B20A1C" w:rsidRDefault="00B20A1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A0F" w:rsidRDefault="00866A0F" w:rsidP="004D249B">
      <w:pPr>
        <w:spacing w:after="0" w:line="240" w:lineRule="auto"/>
      </w:pPr>
      <w:r>
        <w:separator/>
      </w:r>
    </w:p>
  </w:footnote>
  <w:footnote w:type="continuationSeparator" w:id="0">
    <w:p w:rsidR="00866A0F" w:rsidRDefault="00866A0F" w:rsidP="004D249B">
      <w:pPr>
        <w:spacing w:after="0" w:line="240" w:lineRule="auto"/>
      </w:pPr>
      <w:r>
        <w:continuationSeparator/>
      </w:r>
    </w:p>
  </w:footnote>
  <w:footnote w:id="1">
    <w:p w:rsidR="00A71978" w:rsidRPr="00A450DE" w:rsidRDefault="00A71978" w:rsidP="00A450DE">
      <w:pPr>
        <w:pStyle w:val="Textodenotaderodap"/>
        <w:jc w:val="both"/>
        <w:rPr>
          <w:rFonts w:ascii="Times New Roman" w:hAnsi="Times New Roman" w:cs="Times New Roman"/>
          <w:sz w:val="22"/>
          <w:szCs w:val="22"/>
        </w:rPr>
      </w:pPr>
      <w:r w:rsidRPr="00A450DE">
        <w:rPr>
          <w:rStyle w:val="Refdenotaderodap"/>
          <w:rFonts w:ascii="Times New Roman" w:hAnsi="Times New Roman" w:cs="Times New Roman"/>
          <w:sz w:val="22"/>
          <w:szCs w:val="22"/>
        </w:rPr>
        <w:footnoteRef/>
      </w:r>
      <w:r w:rsidRPr="00A450DE">
        <w:rPr>
          <w:rFonts w:ascii="Times New Roman" w:hAnsi="Times New Roman" w:cs="Times New Roman"/>
          <w:sz w:val="22"/>
          <w:szCs w:val="22"/>
        </w:rPr>
        <w:t xml:space="preserve"> Lemos, J.C., Flauzino, F.S., Silva, J.B., Ferrete, J.A., Rezende, K., 2011. Qualidade da água utilizada pelos moradores do assentamento de reforma agrária Bom Jardim, no município de Araguari - Minas Gerais, Brasil. In: 26º Congresso Brasileiro de Engenharia Sanitária e Ambiental; 2011 Set 25-29; Porto Alegre, RS. 2011.</w:t>
      </w:r>
    </w:p>
  </w:footnote>
  <w:footnote w:id="2">
    <w:p w:rsidR="00D2495B" w:rsidRPr="00A450DE" w:rsidRDefault="00B20A1C" w:rsidP="00A450DE">
      <w:pPr>
        <w:pStyle w:val="Textodenotaderodap"/>
        <w:jc w:val="both"/>
        <w:rPr>
          <w:rFonts w:ascii="Times New Roman" w:hAnsi="Times New Roman" w:cs="Times New Roman"/>
          <w:sz w:val="22"/>
          <w:szCs w:val="22"/>
        </w:rPr>
      </w:pPr>
      <w:r w:rsidRPr="00A450DE">
        <w:rPr>
          <w:rStyle w:val="Refdenotaderodap"/>
          <w:rFonts w:ascii="Times New Roman" w:hAnsi="Times New Roman" w:cs="Times New Roman"/>
          <w:sz w:val="22"/>
          <w:szCs w:val="22"/>
        </w:rPr>
        <w:footnoteRef/>
      </w:r>
      <w:r w:rsidRPr="00A450DE">
        <w:rPr>
          <w:rFonts w:ascii="Times New Roman" w:hAnsi="Times New Roman" w:cs="Times New Roman"/>
          <w:sz w:val="22"/>
          <w:szCs w:val="22"/>
        </w:rPr>
        <w:t xml:space="preserve"> Resolução 64/292, de 28 de julho de 2010, da ONU, que reconhece O direito humano à água e saneamento. Disponível em</w:t>
      </w:r>
      <w:r w:rsidR="00D2495B" w:rsidRPr="00A450DE">
        <w:rPr>
          <w:rFonts w:ascii="Times New Roman" w:hAnsi="Times New Roman" w:cs="Times New Roman"/>
          <w:sz w:val="22"/>
          <w:szCs w:val="22"/>
        </w:rPr>
        <w:t>:</w:t>
      </w:r>
    </w:p>
    <w:p w:rsidR="00B20A1C" w:rsidRPr="000D57A5" w:rsidRDefault="00B20A1C" w:rsidP="00A450DE">
      <w:pPr>
        <w:pStyle w:val="Textodenotaderodap"/>
        <w:jc w:val="both"/>
        <w:rPr>
          <w:rFonts w:ascii="Times New Roman" w:hAnsi="Times New Roman" w:cs="Times New Roman"/>
        </w:rPr>
      </w:pPr>
      <w:r w:rsidRPr="00A450DE">
        <w:rPr>
          <w:rFonts w:ascii="Times New Roman" w:hAnsi="Times New Roman" w:cs="Times New Roman"/>
          <w:sz w:val="22"/>
          <w:szCs w:val="22"/>
        </w:rPr>
        <w:t>http://www.un.org/en/ga/search/v</w:t>
      </w:r>
      <w:r w:rsidR="0050054D" w:rsidRPr="00A450DE">
        <w:rPr>
          <w:rFonts w:ascii="Times New Roman" w:hAnsi="Times New Roman" w:cs="Times New Roman"/>
          <w:sz w:val="22"/>
          <w:szCs w:val="22"/>
        </w:rPr>
        <w:t>iew_doc.asp?symbol=A/RES/64/292</w:t>
      </w:r>
      <w:r w:rsidRPr="00A450DE">
        <w:rPr>
          <w:rFonts w:ascii="Times New Roman" w:hAnsi="Times New Roman" w:cs="Times New Roman"/>
          <w:sz w:val="22"/>
          <w:szCs w:val="22"/>
        </w:rPr>
        <w:t>. Acesso em 15 de março de 2019.</w:t>
      </w:r>
    </w:p>
  </w:footnote>
  <w:footnote w:id="3">
    <w:p w:rsidR="00E1308D" w:rsidRDefault="00E1308D" w:rsidP="00D2495B">
      <w:pPr>
        <w:pStyle w:val="Textodenotaderodap"/>
        <w:jc w:val="both"/>
        <w:rPr>
          <w:rFonts w:ascii="Times New Roman" w:hAnsi="Times New Roman" w:cs="Times New Roman"/>
          <w:sz w:val="22"/>
          <w:szCs w:val="22"/>
        </w:rPr>
      </w:pPr>
      <w:r w:rsidRPr="003D0B42">
        <w:rPr>
          <w:rStyle w:val="Refdenotaderodap"/>
          <w:rFonts w:ascii="Times New Roman" w:hAnsi="Times New Roman" w:cs="Times New Roman"/>
          <w:sz w:val="22"/>
          <w:szCs w:val="22"/>
        </w:rPr>
        <w:footnoteRef/>
      </w:r>
      <w:r w:rsidRPr="003D0B42">
        <w:rPr>
          <w:rFonts w:ascii="Times New Roman" w:hAnsi="Times New Roman" w:cs="Times New Roman"/>
          <w:sz w:val="22"/>
          <w:szCs w:val="22"/>
        </w:rPr>
        <w:t xml:space="preserve"> Ministério da Saúde. Programa Nacional de Vigilância da Qualidade da Água </w:t>
      </w:r>
      <w:r w:rsidR="00D2495B">
        <w:rPr>
          <w:rFonts w:ascii="Times New Roman" w:hAnsi="Times New Roman" w:cs="Times New Roman"/>
          <w:sz w:val="22"/>
          <w:szCs w:val="22"/>
        </w:rPr>
        <w:t xml:space="preserve">para Consumo Humano - Vigiagua. Disponívem em: </w:t>
      </w:r>
      <w:r w:rsidR="00D2495B" w:rsidRPr="00D2495B">
        <w:rPr>
          <w:rFonts w:ascii="Times New Roman" w:hAnsi="Times New Roman" w:cs="Times New Roman"/>
          <w:sz w:val="22"/>
          <w:szCs w:val="22"/>
        </w:rPr>
        <w:t>http://portalms.saude.gov.br/saude-de-a-z/vigilancia-da-qualidade-da-agua-vigiagua</w:t>
      </w:r>
    </w:p>
    <w:p w:rsidR="00D2495B" w:rsidRPr="00D2495B" w:rsidRDefault="00D2495B" w:rsidP="00D2495B">
      <w:pPr>
        <w:tabs>
          <w:tab w:val="left" w:pos="8504"/>
        </w:tabs>
        <w:spacing w:after="0" w:line="240" w:lineRule="auto"/>
        <w:jc w:val="both"/>
        <w:rPr>
          <w:rFonts w:ascii="Times New Roman" w:eastAsia="Times New Roman" w:hAnsi="Times New Roman" w:cs="Times New Roman"/>
          <w:bCs/>
          <w:kern w:val="36"/>
          <w:shd w:val="clear" w:color="auto" w:fill="FFFFFF"/>
        </w:rPr>
      </w:pPr>
      <w:r w:rsidRPr="003D0B42">
        <w:rPr>
          <w:rFonts w:ascii="Times New Roman" w:eastAsia="Times New Roman" w:hAnsi="Times New Roman" w:cs="Times New Roman"/>
          <w:bCs/>
          <w:kern w:val="36"/>
          <w:shd w:val="clear" w:color="auto" w:fill="FFFFFF"/>
        </w:rPr>
        <w:t xml:space="preserve">Acesso em: </w:t>
      </w:r>
      <w:r w:rsidR="00071277">
        <w:rPr>
          <w:rFonts w:ascii="Times New Roman" w:eastAsia="Times New Roman" w:hAnsi="Times New Roman" w:cs="Times New Roman"/>
          <w:bCs/>
          <w:kern w:val="36"/>
          <w:shd w:val="clear" w:color="auto" w:fill="FFFFFF"/>
        </w:rPr>
        <w:t>23 mar. 2019.</w:t>
      </w:r>
    </w:p>
  </w:footnote>
  <w:footnote w:id="4">
    <w:p w:rsidR="003F04DD" w:rsidRPr="003D0B42" w:rsidRDefault="003F04DD" w:rsidP="003F04DD">
      <w:pPr>
        <w:tabs>
          <w:tab w:val="left" w:pos="8504"/>
        </w:tabs>
        <w:spacing w:after="0" w:line="240" w:lineRule="auto"/>
        <w:jc w:val="both"/>
        <w:rPr>
          <w:rFonts w:ascii="Times New Roman" w:eastAsia="Times New Roman" w:hAnsi="Times New Roman" w:cs="Times New Roman"/>
          <w:bCs/>
          <w:kern w:val="36"/>
          <w:shd w:val="clear" w:color="auto" w:fill="FFFFFF"/>
        </w:rPr>
      </w:pPr>
      <w:r w:rsidRPr="003D0B42">
        <w:rPr>
          <w:rStyle w:val="Refdenotaderodap"/>
          <w:rFonts w:ascii="Times New Roman" w:hAnsi="Times New Roman" w:cs="Times New Roman"/>
        </w:rPr>
        <w:footnoteRef/>
      </w:r>
      <w:r>
        <w:rPr>
          <w:rFonts w:ascii="Times New Roman" w:eastAsia="Times New Roman" w:hAnsi="Times New Roman" w:cs="Times New Roman"/>
          <w:bCs/>
          <w:kern w:val="36"/>
          <w:shd w:val="clear" w:color="auto" w:fill="FFFFFF"/>
        </w:rPr>
        <w:t>Instituto Brasileiro de Geografia e</w:t>
      </w:r>
      <w:r w:rsidRPr="003D0B42">
        <w:rPr>
          <w:rFonts w:ascii="Times New Roman" w:eastAsia="Times New Roman" w:hAnsi="Times New Roman" w:cs="Times New Roman"/>
          <w:bCs/>
          <w:kern w:val="36"/>
          <w:shd w:val="clear" w:color="auto" w:fill="FFFFFF"/>
        </w:rPr>
        <w:t xml:space="preserve"> Estatística – IBGE. Rio Grand</w:t>
      </w:r>
      <w:r>
        <w:rPr>
          <w:rFonts w:ascii="Times New Roman" w:eastAsia="Times New Roman" w:hAnsi="Times New Roman" w:cs="Times New Roman"/>
          <w:bCs/>
          <w:kern w:val="36"/>
          <w:shd w:val="clear" w:color="auto" w:fill="FFFFFF"/>
        </w:rPr>
        <w:t xml:space="preserve">e do Sul, 2019. </w:t>
      </w:r>
      <w:r w:rsidR="005F050E">
        <w:rPr>
          <w:rFonts w:ascii="Times New Roman" w:eastAsia="Times New Roman" w:hAnsi="Times New Roman" w:cs="Times New Roman"/>
          <w:bCs/>
          <w:kern w:val="36"/>
          <w:shd w:val="clear" w:color="auto" w:fill="FFFFFF"/>
        </w:rPr>
        <w:t xml:space="preserve">Disponível em: </w:t>
      </w:r>
      <w:r w:rsidR="005F050E" w:rsidRPr="00D2495B">
        <w:rPr>
          <w:rFonts w:ascii="Times New Roman" w:eastAsia="Times New Roman" w:hAnsi="Times New Roman" w:cs="Times New Roman"/>
          <w:bCs/>
          <w:kern w:val="36"/>
          <w:shd w:val="clear" w:color="auto" w:fill="FFFFFF"/>
        </w:rPr>
        <w:t>https://cidades.ibge.gov.br/brasil/rs/panorama</w:t>
      </w:r>
      <w:r w:rsidR="005F050E" w:rsidRPr="003D0B42">
        <w:rPr>
          <w:rFonts w:ascii="Times New Roman" w:eastAsia="Times New Roman" w:hAnsi="Times New Roman" w:cs="Times New Roman"/>
          <w:bCs/>
          <w:kern w:val="36"/>
          <w:shd w:val="clear" w:color="auto" w:fill="FFFFFF"/>
        </w:rPr>
        <w:t xml:space="preserve"> Acesso em: </w:t>
      </w:r>
      <w:r w:rsidR="005F050E">
        <w:rPr>
          <w:rFonts w:ascii="Times New Roman" w:eastAsia="Times New Roman" w:hAnsi="Times New Roman" w:cs="Times New Roman"/>
          <w:bCs/>
          <w:kern w:val="36"/>
          <w:shd w:val="clear" w:color="auto" w:fill="FFFFFF"/>
        </w:rPr>
        <w:t>23 mar. 2019.</w:t>
      </w:r>
    </w:p>
    <w:p w:rsidR="003F04DD" w:rsidRDefault="003F04DD" w:rsidP="003F04DD">
      <w:pPr>
        <w:pStyle w:val="Textodenotaderodap"/>
      </w:pPr>
    </w:p>
  </w:footnote>
  <w:footnote w:id="5">
    <w:p w:rsidR="00D2495B" w:rsidRPr="00D2495B" w:rsidRDefault="00B20A1C" w:rsidP="00D2495B">
      <w:pPr>
        <w:tabs>
          <w:tab w:val="left" w:pos="8504"/>
        </w:tabs>
        <w:spacing w:after="0" w:line="240" w:lineRule="auto"/>
        <w:jc w:val="both"/>
        <w:rPr>
          <w:rFonts w:ascii="Times New Roman" w:eastAsia="Arial" w:hAnsi="Times New Roman" w:cs="Times New Roman"/>
        </w:rPr>
      </w:pPr>
      <w:r w:rsidRPr="00F80854">
        <w:rPr>
          <w:rStyle w:val="Refdenotaderodap"/>
          <w:rFonts w:ascii="Times New Roman" w:hAnsi="Times New Roman" w:cs="Times New Roman"/>
        </w:rPr>
        <w:footnoteRef/>
      </w:r>
      <w:r w:rsidR="00D2495B" w:rsidRPr="00D2495B">
        <w:rPr>
          <w:rFonts w:ascii="Times New Roman" w:eastAsia="Arial" w:hAnsi="Times New Roman" w:cs="Times New Roman"/>
        </w:rPr>
        <w:t xml:space="preserve">Instituto Brasileiro de Geografia e Estatística - </w:t>
      </w:r>
      <w:r w:rsidRPr="00D2495B">
        <w:rPr>
          <w:rFonts w:ascii="Times New Roman" w:eastAsia="Arial" w:hAnsi="Times New Roman" w:cs="Times New Roman"/>
        </w:rPr>
        <w:t>IBGE. Esta</w:t>
      </w:r>
      <w:r w:rsidR="00D2495B" w:rsidRPr="00D2495B">
        <w:rPr>
          <w:rFonts w:ascii="Times New Roman" w:eastAsia="Arial" w:hAnsi="Times New Roman" w:cs="Times New Roman"/>
        </w:rPr>
        <w:t>tísticas, 2019. Disponível em: http://www.ibge.gov.br/</w:t>
      </w:r>
    </w:p>
    <w:p w:rsidR="00B20A1C" w:rsidRPr="00D2495B" w:rsidRDefault="00B20A1C" w:rsidP="00D2495B">
      <w:pPr>
        <w:tabs>
          <w:tab w:val="left" w:pos="8504"/>
        </w:tabs>
        <w:spacing w:after="0" w:line="240" w:lineRule="auto"/>
        <w:jc w:val="both"/>
        <w:rPr>
          <w:rFonts w:ascii="Times New Roman" w:eastAsia="Arial" w:hAnsi="Times New Roman" w:cs="Times New Roman"/>
        </w:rPr>
      </w:pPr>
      <w:r w:rsidRPr="00D2495B">
        <w:rPr>
          <w:rFonts w:ascii="Times New Roman" w:eastAsia="Arial" w:hAnsi="Times New Roman" w:cs="Times New Roman"/>
        </w:rPr>
        <w:t xml:space="preserve">Acesso em: </w:t>
      </w:r>
      <w:r w:rsidR="00071277">
        <w:rPr>
          <w:rFonts w:ascii="Times New Roman" w:eastAsia="Arial" w:hAnsi="Times New Roman" w:cs="Times New Roman"/>
        </w:rPr>
        <w:t>23 mar. 2019.</w:t>
      </w:r>
    </w:p>
  </w:footnote>
  <w:footnote w:id="6">
    <w:p w:rsidR="002562CE" w:rsidRPr="00D2495B" w:rsidRDefault="002562CE" w:rsidP="00D2495B">
      <w:pPr>
        <w:pStyle w:val="Textodenotaderodap"/>
        <w:jc w:val="both"/>
        <w:rPr>
          <w:rFonts w:ascii="Times New Roman" w:hAnsi="Times New Roman" w:cs="Times New Roman"/>
          <w:sz w:val="22"/>
          <w:szCs w:val="22"/>
        </w:rPr>
      </w:pPr>
      <w:r w:rsidRPr="00D2495B">
        <w:rPr>
          <w:rStyle w:val="Refdenotaderodap"/>
          <w:rFonts w:ascii="Times New Roman" w:hAnsi="Times New Roman" w:cs="Times New Roman"/>
          <w:sz w:val="22"/>
          <w:szCs w:val="22"/>
        </w:rPr>
        <w:footnoteRef/>
      </w:r>
      <w:r w:rsidRPr="00D2495B">
        <w:rPr>
          <w:rFonts w:ascii="Times New Roman" w:hAnsi="Times New Roman" w:cs="Times New Roman"/>
          <w:sz w:val="22"/>
          <w:szCs w:val="22"/>
        </w:rPr>
        <w:t>Departamento de Informática do Sistema Único de Saúde - DATASUS. Sistema de Informação de Atenção Básica, 2019. Disponível em: http://tabnet.datasus.gov.br/cgi/deftohtm.exe?siab/cnv/SIABCrs.def</w:t>
      </w:r>
    </w:p>
    <w:p w:rsidR="002562CE" w:rsidRPr="00D2495B" w:rsidRDefault="002562CE" w:rsidP="00D2495B">
      <w:pPr>
        <w:pStyle w:val="Textodenotaderodap"/>
        <w:jc w:val="both"/>
        <w:rPr>
          <w:rFonts w:ascii="Times New Roman" w:hAnsi="Times New Roman" w:cs="Times New Roman"/>
          <w:sz w:val="22"/>
          <w:szCs w:val="22"/>
        </w:rPr>
      </w:pPr>
      <w:r w:rsidRPr="00D2495B">
        <w:rPr>
          <w:rFonts w:ascii="Times New Roman" w:eastAsia="Arial" w:hAnsi="Times New Roman" w:cs="Times New Roman"/>
          <w:sz w:val="22"/>
          <w:szCs w:val="22"/>
        </w:rPr>
        <w:t xml:space="preserve">Acesso em: </w:t>
      </w:r>
      <w:r>
        <w:rPr>
          <w:rFonts w:ascii="Times New Roman" w:eastAsia="Arial" w:hAnsi="Times New Roman" w:cs="Times New Roman"/>
          <w:sz w:val="22"/>
          <w:szCs w:val="22"/>
        </w:rPr>
        <w:t>23 mar. 2019.</w:t>
      </w:r>
    </w:p>
  </w:footnote>
  <w:footnote w:id="7">
    <w:p w:rsidR="002562CE" w:rsidRPr="00D2495B" w:rsidRDefault="002562CE" w:rsidP="00D2495B">
      <w:pPr>
        <w:pStyle w:val="Textodenotaderodap"/>
        <w:jc w:val="both"/>
        <w:rPr>
          <w:rFonts w:ascii="Times New Roman" w:hAnsi="Times New Roman" w:cs="Times New Roman"/>
          <w:sz w:val="22"/>
          <w:szCs w:val="22"/>
        </w:rPr>
      </w:pPr>
      <w:r w:rsidRPr="00D2495B">
        <w:rPr>
          <w:rStyle w:val="Refdenotaderodap"/>
          <w:rFonts w:ascii="Times New Roman" w:hAnsi="Times New Roman" w:cs="Times New Roman"/>
          <w:sz w:val="22"/>
          <w:szCs w:val="22"/>
        </w:rPr>
        <w:footnoteRef/>
      </w:r>
      <w:r w:rsidRPr="00D2495B">
        <w:rPr>
          <w:rFonts w:ascii="Times New Roman" w:hAnsi="Times New Roman" w:cs="Times New Roman"/>
          <w:sz w:val="22"/>
          <w:szCs w:val="22"/>
        </w:rPr>
        <w:t>Departamento de Informática do Sistema Único de Saúde – DATASUS. Sistema de Informação da Atenção Básica - situação de saneamento. Notas Técnicas. Disponível em: http://tabnet.datasus.gov.br/cgi/siab/At_bas_sit_san_desde_1998.pdf</w:t>
      </w:r>
    </w:p>
    <w:p w:rsidR="002562CE" w:rsidRPr="00D2495B" w:rsidRDefault="002562CE" w:rsidP="00D2495B">
      <w:pPr>
        <w:pStyle w:val="Textodenotaderodap"/>
        <w:jc w:val="both"/>
        <w:rPr>
          <w:rFonts w:ascii="Times New Roman" w:hAnsi="Times New Roman" w:cs="Times New Roman"/>
          <w:sz w:val="22"/>
          <w:szCs w:val="22"/>
        </w:rPr>
      </w:pPr>
      <w:r w:rsidRPr="00D2495B">
        <w:rPr>
          <w:rFonts w:ascii="Times New Roman" w:eastAsia="Arial" w:hAnsi="Times New Roman" w:cs="Times New Roman"/>
          <w:sz w:val="22"/>
          <w:szCs w:val="22"/>
        </w:rPr>
        <w:t xml:space="preserve">Acesso em: </w:t>
      </w:r>
      <w:r>
        <w:rPr>
          <w:rFonts w:ascii="Times New Roman" w:eastAsia="Arial" w:hAnsi="Times New Roman" w:cs="Times New Roman"/>
          <w:sz w:val="22"/>
          <w:szCs w:val="22"/>
        </w:rPr>
        <w:t>23 mar. 2019.</w:t>
      </w:r>
    </w:p>
  </w:footnote>
  <w:footnote w:id="8">
    <w:p w:rsidR="00B20A1C" w:rsidRDefault="00B20A1C" w:rsidP="006F21D2">
      <w:pPr>
        <w:pStyle w:val="Textodenotaderodap"/>
        <w:jc w:val="both"/>
        <w:rPr>
          <w:rFonts w:ascii="Times New Roman" w:hAnsi="Times New Roman" w:cs="Times New Roman"/>
          <w:sz w:val="22"/>
          <w:szCs w:val="22"/>
        </w:rPr>
      </w:pPr>
      <w:r w:rsidRPr="00F80854">
        <w:rPr>
          <w:rStyle w:val="Refdenotaderodap"/>
          <w:rFonts w:ascii="Times New Roman" w:hAnsi="Times New Roman" w:cs="Times New Roman"/>
          <w:sz w:val="22"/>
          <w:szCs w:val="22"/>
        </w:rPr>
        <w:footnoteRef/>
      </w:r>
      <w:r w:rsidR="006F21D2" w:rsidRPr="00D2495B">
        <w:rPr>
          <w:rFonts w:ascii="Times New Roman" w:hAnsi="Times New Roman" w:cs="Times New Roman"/>
          <w:sz w:val="22"/>
          <w:szCs w:val="22"/>
        </w:rPr>
        <w:t>Departamento de Informática do Sistema Único de Saúde - DATASUS</w:t>
      </w:r>
      <w:r w:rsidRPr="00F80854">
        <w:rPr>
          <w:rFonts w:ascii="Times New Roman" w:hAnsi="Times New Roman" w:cs="Times New Roman"/>
          <w:sz w:val="22"/>
          <w:szCs w:val="22"/>
        </w:rPr>
        <w:t xml:space="preserve">. CID 10 – Descrição completa das doenças contempladas nos códigos A00 a A09 (doenças Infecciosas Intestinais). Disponível em: </w:t>
      </w:r>
      <w:r w:rsidR="006F21D2" w:rsidRPr="006F21D2">
        <w:rPr>
          <w:rFonts w:ascii="Times New Roman" w:hAnsi="Times New Roman" w:cs="Times New Roman"/>
          <w:sz w:val="22"/>
          <w:szCs w:val="22"/>
        </w:rPr>
        <w:t>http://www.datasus.gov.br/cid10/V2008/WebHelp/a00_a09.htm</w:t>
      </w:r>
    </w:p>
    <w:p w:rsidR="006F21D2" w:rsidRPr="00F80854" w:rsidRDefault="006F21D2" w:rsidP="006F21D2">
      <w:pPr>
        <w:pStyle w:val="Textodenotaderodap"/>
        <w:jc w:val="both"/>
        <w:rPr>
          <w:rFonts w:ascii="Times New Roman" w:hAnsi="Times New Roman" w:cs="Times New Roman"/>
          <w:sz w:val="22"/>
          <w:szCs w:val="22"/>
        </w:rPr>
      </w:pPr>
      <w:r w:rsidRPr="00D2495B">
        <w:rPr>
          <w:rFonts w:ascii="Times New Roman" w:eastAsia="Arial" w:hAnsi="Times New Roman" w:cs="Times New Roman"/>
          <w:sz w:val="22"/>
          <w:szCs w:val="22"/>
        </w:rPr>
        <w:t xml:space="preserve">Acesso em: </w:t>
      </w:r>
      <w:r w:rsidR="00071277">
        <w:rPr>
          <w:rFonts w:ascii="Times New Roman" w:eastAsia="Arial" w:hAnsi="Times New Roman" w:cs="Times New Roman"/>
          <w:sz w:val="22"/>
          <w:szCs w:val="22"/>
        </w:rPr>
        <w:t>23 mar. 2019.</w:t>
      </w:r>
    </w:p>
  </w:footnote>
  <w:footnote w:id="9">
    <w:p w:rsidR="00B20A1C" w:rsidRDefault="00B20A1C" w:rsidP="006F1205">
      <w:pPr>
        <w:pStyle w:val="Textodenotaderodap"/>
        <w:rPr>
          <w:rFonts w:ascii="Times New Roman" w:hAnsi="Times New Roman" w:cs="Times New Roman"/>
          <w:sz w:val="22"/>
          <w:szCs w:val="22"/>
        </w:rPr>
      </w:pPr>
      <w:r w:rsidRPr="00F80854">
        <w:rPr>
          <w:rStyle w:val="Refdenotaderodap"/>
          <w:rFonts w:ascii="Times New Roman" w:hAnsi="Times New Roman" w:cs="Times New Roman"/>
          <w:sz w:val="22"/>
          <w:szCs w:val="22"/>
        </w:rPr>
        <w:footnoteRef/>
      </w:r>
      <w:r w:rsidR="006F21D2" w:rsidRPr="00D2495B">
        <w:rPr>
          <w:rFonts w:ascii="Times New Roman" w:hAnsi="Times New Roman" w:cs="Times New Roman"/>
          <w:sz w:val="22"/>
          <w:szCs w:val="22"/>
        </w:rPr>
        <w:t>Departamento de Informática do Sistema Único de Saúde - DATASUS</w:t>
      </w:r>
      <w:r w:rsidRPr="00F80854">
        <w:rPr>
          <w:rFonts w:ascii="Times New Roman" w:hAnsi="Times New Roman" w:cs="Times New Roman"/>
          <w:sz w:val="22"/>
          <w:szCs w:val="22"/>
        </w:rPr>
        <w:t xml:space="preserve">. Sistema de Informações Hospitalares do SUS - SIHSUS. Notas Técnicas. Disponível em: </w:t>
      </w:r>
      <w:r w:rsidR="006F21D2" w:rsidRPr="006F21D2">
        <w:rPr>
          <w:rFonts w:ascii="Times New Roman" w:hAnsi="Times New Roman" w:cs="Times New Roman"/>
          <w:sz w:val="22"/>
          <w:szCs w:val="22"/>
        </w:rPr>
        <w:t>http://tabnet.datasus.gov.br/cgi/sih/Morb_geral_loc_int_2008.pdf</w:t>
      </w:r>
    </w:p>
    <w:p w:rsidR="006F21D2" w:rsidRDefault="006F21D2" w:rsidP="006F1205">
      <w:pPr>
        <w:pStyle w:val="Textodenotaderodap"/>
      </w:pPr>
      <w:r>
        <w:rPr>
          <w:rFonts w:ascii="Times New Roman" w:hAnsi="Times New Roman" w:cs="Times New Roman"/>
          <w:sz w:val="22"/>
          <w:szCs w:val="22"/>
        </w:rPr>
        <w:t xml:space="preserve">Acesso em: </w:t>
      </w:r>
      <w:r w:rsidR="00071277">
        <w:rPr>
          <w:rFonts w:ascii="Times New Roman" w:hAnsi="Times New Roman" w:cs="Times New Roman"/>
          <w:sz w:val="22"/>
          <w:szCs w:val="22"/>
        </w:rPr>
        <w:t>23 mar. 2019.</w:t>
      </w:r>
    </w:p>
  </w:footnote>
  <w:footnote w:id="10">
    <w:p w:rsidR="00B20A1C" w:rsidRDefault="00B20A1C" w:rsidP="000379A5">
      <w:pPr>
        <w:pStyle w:val="Textodenotaderodap"/>
        <w:jc w:val="both"/>
        <w:rPr>
          <w:rFonts w:ascii="Times New Roman" w:hAnsi="Times New Roman" w:cs="Times New Roman"/>
          <w:sz w:val="22"/>
          <w:szCs w:val="22"/>
        </w:rPr>
      </w:pPr>
      <w:r w:rsidRPr="000379A5">
        <w:rPr>
          <w:rStyle w:val="Refdenotaderodap"/>
          <w:rFonts w:ascii="Times New Roman" w:hAnsi="Times New Roman" w:cs="Times New Roman"/>
          <w:sz w:val="22"/>
          <w:szCs w:val="22"/>
        </w:rPr>
        <w:footnoteRef/>
      </w:r>
      <w:r w:rsidR="00052D58" w:rsidRPr="00D2495B">
        <w:rPr>
          <w:rFonts w:ascii="Times New Roman" w:hAnsi="Times New Roman" w:cs="Times New Roman"/>
          <w:sz w:val="22"/>
          <w:szCs w:val="22"/>
        </w:rPr>
        <w:t xml:space="preserve">Departamento de Informática do Sistema Único de Saúde </w:t>
      </w:r>
      <w:r w:rsidR="00052D58">
        <w:rPr>
          <w:rFonts w:ascii="Times New Roman" w:hAnsi="Times New Roman" w:cs="Times New Roman"/>
          <w:sz w:val="22"/>
          <w:szCs w:val="22"/>
        </w:rPr>
        <w:t>–</w:t>
      </w:r>
      <w:r w:rsidR="00052D58" w:rsidRPr="00D2495B">
        <w:rPr>
          <w:rFonts w:ascii="Times New Roman" w:hAnsi="Times New Roman" w:cs="Times New Roman"/>
          <w:sz w:val="22"/>
          <w:szCs w:val="22"/>
        </w:rPr>
        <w:t xml:space="preserve"> DATASUS</w:t>
      </w:r>
      <w:r w:rsidR="00052D58">
        <w:rPr>
          <w:rFonts w:ascii="Times New Roman" w:hAnsi="Times New Roman" w:cs="Times New Roman"/>
          <w:sz w:val="22"/>
          <w:szCs w:val="22"/>
        </w:rPr>
        <w:t xml:space="preserve">. </w:t>
      </w:r>
      <w:r w:rsidRPr="000379A5">
        <w:rPr>
          <w:rFonts w:ascii="Times New Roman" w:hAnsi="Times New Roman" w:cs="Times New Roman"/>
          <w:sz w:val="22"/>
          <w:szCs w:val="22"/>
        </w:rPr>
        <w:t>Sistema de Informações sobre Mortalidade - SIM. Notas Técnicas. Disponível em:http://tabnet.datasus.gov.br/cgi/sim/Mortalidade_Geral_1996_2012.pdf</w:t>
      </w:r>
    </w:p>
    <w:p w:rsidR="00052D58" w:rsidRPr="000379A5" w:rsidRDefault="00052D58" w:rsidP="000379A5">
      <w:pPr>
        <w:pStyle w:val="Textodenotaderodap"/>
        <w:jc w:val="both"/>
        <w:rPr>
          <w:rFonts w:ascii="Times New Roman" w:hAnsi="Times New Roman" w:cs="Times New Roman"/>
          <w:sz w:val="22"/>
          <w:szCs w:val="22"/>
        </w:rPr>
      </w:pPr>
      <w:r>
        <w:rPr>
          <w:rFonts w:ascii="Times New Roman" w:hAnsi="Times New Roman" w:cs="Times New Roman"/>
          <w:sz w:val="22"/>
          <w:szCs w:val="22"/>
        </w:rPr>
        <w:t>Acesso em 23 mar. 2019.</w:t>
      </w:r>
    </w:p>
  </w:footnote>
  <w:footnote w:id="11">
    <w:p w:rsidR="002C18A1" w:rsidRPr="00A450DE" w:rsidRDefault="002C18A1" w:rsidP="00A450DE">
      <w:pPr>
        <w:pStyle w:val="Textodenotaderodap"/>
        <w:jc w:val="both"/>
        <w:rPr>
          <w:rFonts w:ascii="Times New Roman" w:hAnsi="Times New Roman" w:cs="Times New Roman"/>
          <w:sz w:val="22"/>
          <w:szCs w:val="22"/>
        </w:rPr>
      </w:pPr>
      <w:r w:rsidRPr="00A450DE">
        <w:rPr>
          <w:rStyle w:val="Refdenotaderodap"/>
          <w:rFonts w:ascii="Times New Roman" w:hAnsi="Times New Roman" w:cs="Times New Roman"/>
          <w:sz w:val="22"/>
          <w:szCs w:val="22"/>
        </w:rPr>
        <w:footnoteRef/>
      </w:r>
      <w:r w:rsidRPr="00A450DE">
        <w:rPr>
          <w:rFonts w:ascii="Times New Roman" w:hAnsi="Times New Roman" w:cs="Times New Roman"/>
          <w:sz w:val="22"/>
          <w:szCs w:val="22"/>
        </w:rPr>
        <w:t xml:space="preserve"> Cohn, D., Cox, M., Beger, P., 2002. Aspectos de lacalid</w:t>
      </w:r>
      <w:r w:rsidR="00C62211" w:rsidRPr="00A450DE">
        <w:rPr>
          <w:rFonts w:ascii="Times New Roman" w:hAnsi="Times New Roman" w:cs="Times New Roman"/>
          <w:sz w:val="22"/>
          <w:szCs w:val="22"/>
        </w:rPr>
        <w:t xml:space="preserve">ad del agua, salud y estética. </w:t>
      </w:r>
      <w:r w:rsidRPr="00A450DE">
        <w:rPr>
          <w:rFonts w:ascii="Times New Roman" w:hAnsi="Times New Roman" w:cs="Times New Roman"/>
          <w:sz w:val="22"/>
          <w:szCs w:val="22"/>
        </w:rPr>
        <w:t>Madrid, España: Mc Graw-Hill.</w:t>
      </w:r>
    </w:p>
  </w:footnote>
  <w:footnote w:id="12">
    <w:p w:rsidR="00272214" w:rsidRPr="00A450DE" w:rsidRDefault="00272214" w:rsidP="00272214">
      <w:pPr>
        <w:pStyle w:val="Textodenotaderodap"/>
        <w:jc w:val="both"/>
        <w:rPr>
          <w:rFonts w:ascii="Times New Roman" w:hAnsi="Times New Roman" w:cs="Times New Roman"/>
          <w:sz w:val="22"/>
          <w:szCs w:val="22"/>
        </w:rPr>
      </w:pPr>
      <w:r w:rsidRPr="00A450DE">
        <w:rPr>
          <w:rStyle w:val="Refdenotaderodap"/>
          <w:rFonts w:ascii="Times New Roman" w:hAnsi="Times New Roman" w:cs="Times New Roman"/>
          <w:sz w:val="22"/>
          <w:szCs w:val="22"/>
        </w:rPr>
        <w:footnoteRef/>
      </w:r>
      <w:r w:rsidRPr="00A450DE">
        <w:rPr>
          <w:rFonts w:ascii="Times New Roman" w:hAnsi="Times New Roman" w:cs="Times New Roman"/>
          <w:sz w:val="22"/>
          <w:szCs w:val="22"/>
        </w:rPr>
        <w:t xml:space="preserve"> Teixeira, J.C., Tosetti Leal, F.C., 2002. Desafios no controle de doenças de veiculação hídrica associadas ao tratamento de água para consumo humano. In: AIDIS; Associação Brasileira de Engenharia Sanitária e Ambiental, Associazione Nazionale di Engegneria Sanitária. Desafios Ambientais da Globalização. Disponível em: http://www.bvsde.paho.org/bvsacd/sibesa6/cclv.pdf. Acesso: 27 abr.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0DE" w:rsidRDefault="00B010DE" w:rsidP="00B010DE">
    <w:pPr>
      <w:tabs>
        <w:tab w:val="left" w:pos="1753"/>
        <w:tab w:val="center" w:pos="4419"/>
        <w:tab w:val="center" w:pos="4819"/>
        <w:tab w:val="right" w:pos="8838"/>
      </w:tabs>
      <w:spacing w:after="0" w:line="240" w:lineRule="auto"/>
      <w:jc w:val="center"/>
      <w:rPr>
        <w:rFonts w:ascii="Times New Roman" w:hAnsi="Times New Roman"/>
        <w:sz w:val="20"/>
        <w:szCs w:val="20"/>
      </w:rPr>
    </w:pPr>
  </w:p>
  <w:p w:rsidR="00B010DE" w:rsidRPr="00B010DE" w:rsidRDefault="00B010DE" w:rsidP="00B010DE">
    <w:pPr>
      <w:tabs>
        <w:tab w:val="left" w:pos="1753"/>
        <w:tab w:val="center" w:pos="4419"/>
        <w:tab w:val="center" w:pos="4819"/>
        <w:tab w:val="right" w:pos="8838"/>
      </w:tabs>
      <w:spacing w:after="0" w:line="240" w:lineRule="auto"/>
      <w:jc w:val="center"/>
      <w:rPr>
        <w:rFonts w:ascii="Times New Roman" w:hAnsi="Times New Roman"/>
      </w:rPr>
    </w:pPr>
    <w:r w:rsidRPr="003F0250">
      <w:rPr>
        <w:rFonts w:ascii="Times New Roman" w:hAnsi="Times New Roman"/>
        <w:sz w:val="20"/>
        <w:szCs w:val="20"/>
      </w:rPr>
      <w:t xml:space="preserve">Revista Brasileira de </w:t>
    </w:r>
    <w:r w:rsidRPr="00C42A12">
      <w:rPr>
        <w:rFonts w:ascii="Times New Roman" w:hAnsi="Times New Roman"/>
        <w:sz w:val="20"/>
        <w:szCs w:val="20"/>
      </w:rPr>
      <w:t>Geografia Física v.12, n</w:t>
    </w:r>
    <w:r w:rsidRPr="00443CC9">
      <w:rPr>
        <w:rFonts w:ascii="Times New Roman" w:hAnsi="Times New Roman"/>
        <w:sz w:val="20"/>
        <w:szCs w:val="20"/>
      </w:rPr>
      <w:t>.0</w:t>
    </w:r>
    <w:r>
      <w:rPr>
        <w:rFonts w:ascii="Times New Roman" w:hAnsi="Times New Roman"/>
        <w:sz w:val="20"/>
        <w:szCs w:val="20"/>
      </w:rPr>
      <w:t>6 (2019) 2355-2376</w:t>
    </w:r>
    <w:r w:rsidRPr="00443CC9">
      <w:rPr>
        <w:rFonts w:ascii="Times New Roman" w:hAnsi="Times New Roman"/>
        <w:sz w:val="20"/>
        <w:szCs w:val="20"/>
      </w:rPr>
      <w:t>.</w:t>
    </w:r>
  </w:p>
  <w:p w:rsidR="00B010DE" w:rsidRDefault="00B010D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53FDB"/>
    <w:multiLevelType w:val="hybridMultilevel"/>
    <w:tmpl w:val="F75C20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A55F90"/>
    <w:multiLevelType w:val="hybridMultilevel"/>
    <w:tmpl w:val="B2AACEE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defaultTabStop w:val="708"/>
  <w:hyphenationZone w:val="425"/>
  <w:drawingGridHorizontalSpacing w:val="110"/>
  <w:displayHorizontalDrawingGridEvery w:val="2"/>
  <w:characterSpacingControl w:val="doNotCompress"/>
  <w:footnotePr>
    <w:numFmt w:val="lowerLetter"/>
    <w:footnote w:id="-1"/>
    <w:footnote w:id="0"/>
  </w:footnotePr>
  <w:endnotePr>
    <w:endnote w:id="-1"/>
    <w:endnote w:id="0"/>
  </w:endnotePr>
  <w:compat>
    <w:useFELayout/>
    <w:compatSetting w:name="compatibilityMode" w:uri="http://schemas.microsoft.com/office/word" w:val="12"/>
  </w:compat>
  <w:rsids>
    <w:rsidRoot w:val="00D416E9"/>
    <w:rsid w:val="00000EB6"/>
    <w:rsid w:val="000062CD"/>
    <w:rsid w:val="00012C90"/>
    <w:rsid w:val="0002428E"/>
    <w:rsid w:val="000248D7"/>
    <w:rsid w:val="00024F51"/>
    <w:rsid w:val="00026EC5"/>
    <w:rsid w:val="00030333"/>
    <w:rsid w:val="000313FF"/>
    <w:rsid w:val="00034911"/>
    <w:rsid w:val="00037194"/>
    <w:rsid w:val="000379A5"/>
    <w:rsid w:val="00045CB8"/>
    <w:rsid w:val="00052D58"/>
    <w:rsid w:val="00055268"/>
    <w:rsid w:val="00055AB9"/>
    <w:rsid w:val="000612D3"/>
    <w:rsid w:val="00063DD0"/>
    <w:rsid w:val="000645E6"/>
    <w:rsid w:val="0006742C"/>
    <w:rsid w:val="00071277"/>
    <w:rsid w:val="00073973"/>
    <w:rsid w:val="00074AAB"/>
    <w:rsid w:val="000815D6"/>
    <w:rsid w:val="00082AB2"/>
    <w:rsid w:val="000850B4"/>
    <w:rsid w:val="00085C6D"/>
    <w:rsid w:val="0009336B"/>
    <w:rsid w:val="00094E50"/>
    <w:rsid w:val="000B0743"/>
    <w:rsid w:val="000B19A2"/>
    <w:rsid w:val="000B2B55"/>
    <w:rsid w:val="000B40F7"/>
    <w:rsid w:val="000B573B"/>
    <w:rsid w:val="000C6DF0"/>
    <w:rsid w:val="000C75E3"/>
    <w:rsid w:val="000D0F21"/>
    <w:rsid w:val="000D278F"/>
    <w:rsid w:val="000D47BB"/>
    <w:rsid w:val="000D57A5"/>
    <w:rsid w:val="000E7EC5"/>
    <w:rsid w:val="000F2177"/>
    <w:rsid w:val="000F3A29"/>
    <w:rsid w:val="000F3D2F"/>
    <w:rsid w:val="000F6501"/>
    <w:rsid w:val="0010565B"/>
    <w:rsid w:val="001120E8"/>
    <w:rsid w:val="00121E93"/>
    <w:rsid w:val="001227A0"/>
    <w:rsid w:val="00122D8F"/>
    <w:rsid w:val="00137308"/>
    <w:rsid w:val="00141CD8"/>
    <w:rsid w:val="00147384"/>
    <w:rsid w:val="00147AB6"/>
    <w:rsid w:val="00150600"/>
    <w:rsid w:val="0016272E"/>
    <w:rsid w:val="00162879"/>
    <w:rsid w:val="0016352F"/>
    <w:rsid w:val="0016743C"/>
    <w:rsid w:val="00170753"/>
    <w:rsid w:val="00174D11"/>
    <w:rsid w:val="0017753E"/>
    <w:rsid w:val="00180840"/>
    <w:rsid w:val="00180EE6"/>
    <w:rsid w:val="00183305"/>
    <w:rsid w:val="00184582"/>
    <w:rsid w:val="00185E13"/>
    <w:rsid w:val="001868F5"/>
    <w:rsid w:val="00186F5C"/>
    <w:rsid w:val="001920F5"/>
    <w:rsid w:val="00193892"/>
    <w:rsid w:val="00194C34"/>
    <w:rsid w:val="001A05AA"/>
    <w:rsid w:val="001A3CAA"/>
    <w:rsid w:val="001B008A"/>
    <w:rsid w:val="001B0EC9"/>
    <w:rsid w:val="001B2142"/>
    <w:rsid w:val="001B41A4"/>
    <w:rsid w:val="001B4CE8"/>
    <w:rsid w:val="001C27BA"/>
    <w:rsid w:val="001C47A4"/>
    <w:rsid w:val="001C4998"/>
    <w:rsid w:val="001C6673"/>
    <w:rsid w:val="001D12E9"/>
    <w:rsid w:val="001D6620"/>
    <w:rsid w:val="001E14EB"/>
    <w:rsid w:val="001E6543"/>
    <w:rsid w:val="002000A8"/>
    <w:rsid w:val="00200865"/>
    <w:rsid w:val="00201EB5"/>
    <w:rsid w:val="00205FF9"/>
    <w:rsid w:val="00220239"/>
    <w:rsid w:val="00232AC8"/>
    <w:rsid w:val="0023417B"/>
    <w:rsid w:val="0023469D"/>
    <w:rsid w:val="002404C0"/>
    <w:rsid w:val="00246A6F"/>
    <w:rsid w:val="00250A07"/>
    <w:rsid w:val="002562CE"/>
    <w:rsid w:val="002604FD"/>
    <w:rsid w:val="00261937"/>
    <w:rsid w:val="00264DF7"/>
    <w:rsid w:val="00266B5A"/>
    <w:rsid w:val="00267312"/>
    <w:rsid w:val="002713E7"/>
    <w:rsid w:val="00272214"/>
    <w:rsid w:val="00273EC7"/>
    <w:rsid w:val="00275703"/>
    <w:rsid w:val="00284F3D"/>
    <w:rsid w:val="002960C5"/>
    <w:rsid w:val="002B0A02"/>
    <w:rsid w:val="002B5345"/>
    <w:rsid w:val="002B68EE"/>
    <w:rsid w:val="002B6AC5"/>
    <w:rsid w:val="002C18A1"/>
    <w:rsid w:val="002C1F9F"/>
    <w:rsid w:val="002C23A6"/>
    <w:rsid w:val="002C32B5"/>
    <w:rsid w:val="002C3BB0"/>
    <w:rsid w:val="002D08BC"/>
    <w:rsid w:val="002E1F4F"/>
    <w:rsid w:val="002E37D5"/>
    <w:rsid w:val="002E78FC"/>
    <w:rsid w:val="002F3BA0"/>
    <w:rsid w:val="002F51FD"/>
    <w:rsid w:val="002F6AB8"/>
    <w:rsid w:val="002F6D5D"/>
    <w:rsid w:val="0030081E"/>
    <w:rsid w:val="00301A05"/>
    <w:rsid w:val="0030227E"/>
    <w:rsid w:val="003053E6"/>
    <w:rsid w:val="003056FE"/>
    <w:rsid w:val="003071D3"/>
    <w:rsid w:val="003106FB"/>
    <w:rsid w:val="003132E6"/>
    <w:rsid w:val="00313F34"/>
    <w:rsid w:val="00321AD9"/>
    <w:rsid w:val="003345EF"/>
    <w:rsid w:val="00334D78"/>
    <w:rsid w:val="00335761"/>
    <w:rsid w:val="00335FA6"/>
    <w:rsid w:val="00341E8D"/>
    <w:rsid w:val="003423CC"/>
    <w:rsid w:val="003450FB"/>
    <w:rsid w:val="00346135"/>
    <w:rsid w:val="00360E7B"/>
    <w:rsid w:val="003612D6"/>
    <w:rsid w:val="00362C2A"/>
    <w:rsid w:val="003770AD"/>
    <w:rsid w:val="00385101"/>
    <w:rsid w:val="00391D15"/>
    <w:rsid w:val="003963FE"/>
    <w:rsid w:val="00396B26"/>
    <w:rsid w:val="003A09C4"/>
    <w:rsid w:val="003A0DF2"/>
    <w:rsid w:val="003A1D5E"/>
    <w:rsid w:val="003A2FAA"/>
    <w:rsid w:val="003B1E2A"/>
    <w:rsid w:val="003B2E2E"/>
    <w:rsid w:val="003C755A"/>
    <w:rsid w:val="003D0B42"/>
    <w:rsid w:val="003D0C73"/>
    <w:rsid w:val="003D319F"/>
    <w:rsid w:val="003D6DD7"/>
    <w:rsid w:val="003F04DD"/>
    <w:rsid w:val="003F1B73"/>
    <w:rsid w:val="003F20F8"/>
    <w:rsid w:val="003F3D09"/>
    <w:rsid w:val="004020AE"/>
    <w:rsid w:val="00405EA6"/>
    <w:rsid w:val="00431ABD"/>
    <w:rsid w:val="004370BD"/>
    <w:rsid w:val="004475D4"/>
    <w:rsid w:val="004505DD"/>
    <w:rsid w:val="00452B98"/>
    <w:rsid w:val="00452C6E"/>
    <w:rsid w:val="00455AF4"/>
    <w:rsid w:val="00463C4D"/>
    <w:rsid w:val="0046797D"/>
    <w:rsid w:val="00467BD8"/>
    <w:rsid w:val="00474991"/>
    <w:rsid w:val="00485126"/>
    <w:rsid w:val="00490F17"/>
    <w:rsid w:val="004957B3"/>
    <w:rsid w:val="004A166C"/>
    <w:rsid w:val="004A4A76"/>
    <w:rsid w:val="004A7C7D"/>
    <w:rsid w:val="004C6F97"/>
    <w:rsid w:val="004C73C5"/>
    <w:rsid w:val="004D06E3"/>
    <w:rsid w:val="004D249B"/>
    <w:rsid w:val="004D3275"/>
    <w:rsid w:val="004D335C"/>
    <w:rsid w:val="004E065A"/>
    <w:rsid w:val="004E3A0C"/>
    <w:rsid w:val="004E4691"/>
    <w:rsid w:val="004E6057"/>
    <w:rsid w:val="004E69C0"/>
    <w:rsid w:val="004E7225"/>
    <w:rsid w:val="004F7917"/>
    <w:rsid w:val="005002A8"/>
    <w:rsid w:val="0050054D"/>
    <w:rsid w:val="00501998"/>
    <w:rsid w:val="005110B2"/>
    <w:rsid w:val="00521702"/>
    <w:rsid w:val="00522ECD"/>
    <w:rsid w:val="00524907"/>
    <w:rsid w:val="00525E25"/>
    <w:rsid w:val="005261D3"/>
    <w:rsid w:val="00526DA4"/>
    <w:rsid w:val="00530DFB"/>
    <w:rsid w:val="00541320"/>
    <w:rsid w:val="00541971"/>
    <w:rsid w:val="00545058"/>
    <w:rsid w:val="00547EB3"/>
    <w:rsid w:val="00547F45"/>
    <w:rsid w:val="00557E8D"/>
    <w:rsid w:val="00566AAA"/>
    <w:rsid w:val="00570A1F"/>
    <w:rsid w:val="00576CA4"/>
    <w:rsid w:val="00576D79"/>
    <w:rsid w:val="0058054B"/>
    <w:rsid w:val="005810E9"/>
    <w:rsid w:val="00583B8A"/>
    <w:rsid w:val="00584407"/>
    <w:rsid w:val="00586C43"/>
    <w:rsid w:val="00591F45"/>
    <w:rsid w:val="00594338"/>
    <w:rsid w:val="005945CF"/>
    <w:rsid w:val="005A0AA2"/>
    <w:rsid w:val="005B27B6"/>
    <w:rsid w:val="005B27C5"/>
    <w:rsid w:val="005C18EE"/>
    <w:rsid w:val="005C217D"/>
    <w:rsid w:val="005D3991"/>
    <w:rsid w:val="005D658F"/>
    <w:rsid w:val="005D7D32"/>
    <w:rsid w:val="005E2058"/>
    <w:rsid w:val="005E6375"/>
    <w:rsid w:val="005F050E"/>
    <w:rsid w:val="006015FD"/>
    <w:rsid w:val="00602E0C"/>
    <w:rsid w:val="0060322D"/>
    <w:rsid w:val="00604697"/>
    <w:rsid w:val="006073E8"/>
    <w:rsid w:val="00611925"/>
    <w:rsid w:val="00616E08"/>
    <w:rsid w:val="006170D2"/>
    <w:rsid w:val="00620071"/>
    <w:rsid w:val="006231F4"/>
    <w:rsid w:val="00626CE4"/>
    <w:rsid w:val="00637D76"/>
    <w:rsid w:val="00640C46"/>
    <w:rsid w:val="006530CB"/>
    <w:rsid w:val="00654994"/>
    <w:rsid w:val="006620EE"/>
    <w:rsid w:val="006664C0"/>
    <w:rsid w:val="006729BD"/>
    <w:rsid w:val="00676ECB"/>
    <w:rsid w:val="006870DF"/>
    <w:rsid w:val="0068775F"/>
    <w:rsid w:val="006900FA"/>
    <w:rsid w:val="006930AB"/>
    <w:rsid w:val="0069411B"/>
    <w:rsid w:val="006946A7"/>
    <w:rsid w:val="006968F2"/>
    <w:rsid w:val="006A0FBB"/>
    <w:rsid w:val="006A3518"/>
    <w:rsid w:val="006A599A"/>
    <w:rsid w:val="006B30BC"/>
    <w:rsid w:val="006B4ECE"/>
    <w:rsid w:val="006C0B94"/>
    <w:rsid w:val="006C3BB2"/>
    <w:rsid w:val="006C470F"/>
    <w:rsid w:val="006D41DF"/>
    <w:rsid w:val="006D5710"/>
    <w:rsid w:val="006E0356"/>
    <w:rsid w:val="006E78AB"/>
    <w:rsid w:val="006F1205"/>
    <w:rsid w:val="006F19A6"/>
    <w:rsid w:val="006F21D2"/>
    <w:rsid w:val="006F7856"/>
    <w:rsid w:val="00701894"/>
    <w:rsid w:val="00703970"/>
    <w:rsid w:val="00707B83"/>
    <w:rsid w:val="007122AC"/>
    <w:rsid w:val="00714103"/>
    <w:rsid w:val="0071680D"/>
    <w:rsid w:val="00721C9A"/>
    <w:rsid w:val="00723A23"/>
    <w:rsid w:val="00726B82"/>
    <w:rsid w:val="007274AE"/>
    <w:rsid w:val="007305C8"/>
    <w:rsid w:val="0073633D"/>
    <w:rsid w:val="007377AD"/>
    <w:rsid w:val="00740217"/>
    <w:rsid w:val="00740EE0"/>
    <w:rsid w:val="0074300B"/>
    <w:rsid w:val="007529D6"/>
    <w:rsid w:val="00764501"/>
    <w:rsid w:val="00773609"/>
    <w:rsid w:val="00775056"/>
    <w:rsid w:val="0078601E"/>
    <w:rsid w:val="00787CC2"/>
    <w:rsid w:val="00790164"/>
    <w:rsid w:val="00793D74"/>
    <w:rsid w:val="00794AE9"/>
    <w:rsid w:val="0079770C"/>
    <w:rsid w:val="007A0B60"/>
    <w:rsid w:val="007A2A81"/>
    <w:rsid w:val="007A4833"/>
    <w:rsid w:val="007A60E6"/>
    <w:rsid w:val="007B1696"/>
    <w:rsid w:val="007B1A80"/>
    <w:rsid w:val="007B2D06"/>
    <w:rsid w:val="007B6ED5"/>
    <w:rsid w:val="007C640D"/>
    <w:rsid w:val="007D0282"/>
    <w:rsid w:val="007D5B9B"/>
    <w:rsid w:val="007D7FE2"/>
    <w:rsid w:val="007E57E3"/>
    <w:rsid w:val="007F540F"/>
    <w:rsid w:val="0080149C"/>
    <w:rsid w:val="00803530"/>
    <w:rsid w:val="008101F9"/>
    <w:rsid w:val="00812966"/>
    <w:rsid w:val="008161C6"/>
    <w:rsid w:val="0081714B"/>
    <w:rsid w:val="0082197A"/>
    <w:rsid w:val="00833434"/>
    <w:rsid w:val="00841915"/>
    <w:rsid w:val="00841E9E"/>
    <w:rsid w:val="00842F00"/>
    <w:rsid w:val="00844FDD"/>
    <w:rsid w:val="00846023"/>
    <w:rsid w:val="00854D3C"/>
    <w:rsid w:val="0086424A"/>
    <w:rsid w:val="00866425"/>
    <w:rsid w:val="0086664B"/>
    <w:rsid w:val="00866A0F"/>
    <w:rsid w:val="00870FCC"/>
    <w:rsid w:val="00872458"/>
    <w:rsid w:val="00874C45"/>
    <w:rsid w:val="00877074"/>
    <w:rsid w:val="00881283"/>
    <w:rsid w:val="00881D6C"/>
    <w:rsid w:val="00887198"/>
    <w:rsid w:val="00892FF2"/>
    <w:rsid w:val="00897214"/>
    <w:rsid w:val="008A1070"/>
    <w:rsid w:val="008A1B3E"/>
    <w:rsid w:val="008A20DF"/>
    <w:rsid w:val="008A21E1"/>
    <w:rsid w:val="008A2C45"/>
    <w:rsid w:val="008B030B"/>
    <w:rsid w:val="008B04A4"/>
    <w:rsid w:val="008C0CAD"/>
    <w:rsid w:val="008C369A"/>
    <w:rsid w:val="008C5506"/>
    <w:rsid w:val="008C7258"/>
    <w:rsid w:val="008D0E77"/>
    <w:rsid w:val="008D2DB3"/>
    <w:rsid w:val="008D7868"/>
    <w:rsid w:val="008F148F"/>
    <w:rsid w:val="008F32C9"/>
    <w:rsid w:val="008F3E65"/>
    <w:rsid w:val="008F4E51"/>
    <w:rsid w:val="008F5C6E"/>
    <w:rsid w:val="00904828"/>
    <w:rsid w:val="009072B7"/>
    <w:rsid w:val="00915234"/>
    <w:rsid w:val="00916764"/>
    <w:rsid w:val="009229BD"/>
    <w:rsid w:val="00923B29"/>
    <w:rsid w:val="00932B2C"/>
    <w:rsid w:val="0094258E"/>
    <w:rsid w:val="00942F1F"/>
    <w:rsid w:val="00944915"/>
    <w:rsid w:val="00946888"/>
    <w:rsid w:val="0094781B"/>
    <w:rsid w:val="00950A9F"/>
    <w:rsid w:val="00956468"/>
    <w:rsid w:val="00960D12"/>
    <w:rsid w:val="00961540"/>
    <w:rsid w:val="00961770"/>
    <w:rsid w:val="00977BD7"/>
    <w:rsid w:val="00980013"/>
    <w:rsid w:val="00982A91"/>
    <w:rsid w:val="00984125"/>
    <w:rsid w:val="00985491"/>
    <w:rsid w:val="009A0750"/>
    <w:rsid w:val="009A15B8"/>
    <w:rsid w:val="009A48DC"/>
    <w:rsid w:val="009A5CEA"/>
    <w:rsid w:val="009A6366"/>
    <w:rsid w:val="009B0B91"/>
    <w:rsid w:val="009C0164"/>
    <w:rsid w:val="009C1CDA"/>
    <w:rsid w:val="009C5367"/>
    <w:rsid w:val="009C58A5"/>
    <w:rsid w:val="009D0E0E"/>
    <w:rsid w:val="009E24FE"/>
    <w:rsid w:val="009E3306"/>
    <w:rsid w:val="009F1A32"/>
    <w:rsid w:val="00A002F1"/>
    <w:rsid w:val="00A00AAE"/>
    <w:rsid w:val="00A02EF0"/>
    <w:rsid w:val="00A05589"/>
    <w:rsid w:val="00A061C3"/>
    <w:rsid w:val="00A0708D"/>
    <w:rsid w:val="00A11AD0"/>
    <w:rsid w:val="00A1621B"/>
    <w:rsid w:val="00A23469"/>
    <w:rsid w:val="00A240D8"/>
    <w:rsid w:val="00A27F28"/>
    <w:rsid w:val="00A3224B"/>
    <w:rsid w:val="00A34114"/>
    <w:rsid w:val="00A3530A"/>
    <w:rsid w:val="00A40D96"/>
    <w:rsid w:val="00A450DE"/>
    <w:rsid w:val="00A45A03"/>
    <w:rsid w:val="00A46190"/>
    <w:rsid w:val="00A522F8"/>
    <w:rsid w:val="00A71978"/>
    <w:rsid w:val="00A71CA6"/>
    <w:rsid w:val="00A7400D"/>
    <w:rsid w:val="00A76DDC"/>
    <w:rsid w:val="00A8391C"/>
    <w:rsid w:val="00A8762F"/>
    <w:rsid w:val="00A90EC5"/>
    <w:rsid w:val="00A916BF"/>
    <w:rsid w:val="00A92F89"/>
    <w:rsid w:val="00A96312"/>
    <w:rsid w:val="00A97F42"/>
    <w:rsid w:val="00AA4668"/>
    <w:rsid w:val="00AA7696"/>
    <w:rsid w:val="00AA7C77"/>
    <w:rsid w:val="00AB2DBE"/>
    <w:rsid w:val="00AB48A5"/>
    <w:rsid w:val="00AB5539"/>
    <w:rsid w:val="00AB763D"/>
    <w:rsid w:val="00AC1389"/>
    <w:rsid w:val="00AC20E3"/>
    <w:rsid w:val="00AD55D0"/>
    <w:rsid w:val="00AE1218"/>
    <w:rsid w:val="00AF1817"/>
    <w:rsid w:val="00AF3715"/>
    <w:rsid w:val="00AF5152"/>
    <w:rsid w:val="00B010DE"/>
    <w:rsid w:val="00B01305"/>
    <w:rsid w:val="00B02EA4"/>
    <w:rsid w:val="00B03C33"/>
    <w:rsid w:val="00B03FF9"/>
    <w:rsid w:val="00B0582A"/>
    <w:rsid w:val="00B06320"/>
    <w:rsid w:val="00B2035B"/>
    <w:rsid w:val="00B20A1C"/>
    <w:rsid w:val="00B27D09"/>
    <w:rsid w:val="00B37430"/>
    <w:rsid w:val="00B42578"/>
    <w:rsid w:val="00B442AE"/>
    <w:rsid w:val="00B63D37"/>
    <w:rsid w:val="00B70B45"/>
    <w:rsid w:val="00B720DD"/>
    <w:rsid w:val="00B771DE"/>
    <w:rsid w:val="00B83DEB"/>
    <w:rsid w:val="00B879B3"/>
    <w:rsid w:val="00B925A4"/>
    <w:rsid w:val="00B930F4"/>
    <w:rsid w:val="00B959B8"/>
    <w:rsid w:val="00B9797F"/>
    <w:rsid w:val="00BA0F01"/>
    <w:rsid w:val="00BA5B95"/>
    <w:rsid w:val="00BB09D8"/>
    <w:rsid w:val="00BB5FB3"/>
    <w:rsid w:val="00BC2CB8"/>
    <w:rsid w:val="00BC69D0"/>
    <w:rsid w:val="00BD097F"/>
    <w:rsid w:val="00BD23D6"/>
    <w:rsid w:val="00BD3EFF"/>
    <w:rsid w:val="00BD42DE"/>
    <w:rsid w:val="00BD54E2"/>
    <w:rsid w:val="00BE470A"/>
    <w:rsid w:val="00BE5A9D"/>
    <w:rsid w:val="00BF05CD"/>
    <w:rsid w:val="00BF1E3B"/>
    <w:rsid w:val="00BF2FFC"/>
    <w:rsid w:val="00BF31F8"/>
    <w:rsid w:val="00BF632F"/>
    <w:rsid w:val="00C01510"/>
    <w:rsid w:val="00C03FA5"/>
    <w:rsid w:val="00C100CB"/>
    <w:rsid w:val="00C10FFA"/>
    <w:rsid w:val="00C13504"/>
    <w:rsid w:val="00C217E4"/>
    <w:rsid w:val="00C22B1C"/>
    <w:rsid w:val="00C30F66"/>
    <w:rsid w:val="00C319DE"/>
    <w:rsid w:val="00C3436D"/>
    <w:rsid w:val="00C355B6"/>
    <w:rsid w:val="00C370C1"/>
    <w:rsid w:val="00C400C2"/>
    <w:rsid w:val="00C4374F"/>
    <w:rsid w:val="00C46D78"/>
    <w:rsid w:val="00C52A32"/>
    <w:rsid w:val="00C5385E"/>
    <w:rsid w:val="00C55F0F"/>
    <w:rsid w:val="00C62211"/>
    <w:rsid w:val="00C66D0C"/>
    <w:rsid w:val="00C70711"/>
    <w:rsid w:val="00C7158C"/>
    <w:rsid w:val="00C724F0"/>
    <w:rsid w:val="00C85B87"/>
    <w:rsid w:val="00C878FB"/>
    <w:rsid w:val="00C90A37"/>
    <w:rsid w:val="00C934C4"/>
    <w:rsid w:val="00C944FB"/>
    <w:rsid w:val="00C9450F"/>
    <w:rsid w:val="00CA0E05"/>
    <w:rsid w:val="00CA3851"/>
    <w:rsid w:val="00CA4447"/>
    <w:rsid w:val="00CA6750"/>
    <w:rsid w:val="00CB4375"/>
    <w:rsid w:val="00CB4B0C"/>
    <w:rsid w:val="00CD1F9C"/>
    <w:rsid w:val="00CE01FF"/>
    <w:rsid w:val="00CE0897"/>
    <w:rsid w:val="00CE27F7"/>
    <w:rsid w:val="00CF0ECC"/>
    <w:rsid w:val="00CF7175"/>
    <w:rsid w:val="00CF7C8C"/>
    <w:rsid w:val="00D00D49"/>
    <w:rsid w:val="00D05913"/>
    <w:rsid w:val="00D10741"/>
    <w:rsid w:val="00D11A67"/>
    <w:rsid w:val="00D17F3B"/>
    <w:rsid w:val="00D20799"/>
    <w:rsid w:val="00D22A68"/>
    <w:rsid w:val="00D2495B"/>
    <w:rsid w:val="00D25CD0"/>
    <w:rsid w:val="00D32297"/>
    <w:rsid w:val="00D3357D"/>
    <w:rsid w:val="00D367E3"/>
    <w:rsid w:val="00D40DCB"/>
    <w:rsid w:val="00D416E9"/>
    <w:rsid w:val="00D41DBF"/>
    <w:rsid w:val="00D47A6D"/>
    <w:rsid w:val="00D50C02"/>
    <w:rsid w:val="00D5784A"/>
    <w:rsid w:val="00D60127"/>
    <w:rsid w:val="00D66054"/>
    <w:rsid w:val="00D80ED2"/>
    <w:rsid w:val="00D82135"/>
    <w:rsid w:val="00D82166"/>
    <w:rsid w:val="00D83234"/>
    <w:rsid w:val="00D85433"/>
    <w:rsid w:val="00D85F42"/>
    <w:rsid w:val="00D87C2A"/>
    <w:rsid w:val="00D9046B"/>
    <w:rsid w:val="00D93A99"/>
    <w:rsid w:val="00D93F78"/>
    <w:rsid w:val="00DA1F83"/>
    <w:rsid w:val="00DA46B8"/>
    <w:rsid w:val="00DB2BE0"/>
    <w:rsid w:val="00DB3491"/>
    <w:rsid w:val="00DB67BD"/>
    <w:rsid w:val="00DC522D"/>
    <w:rsid w:val="00DC5806"/>
    <w:rsid w:val="00DE6576"/>
    <w:rsid w:val="00DF443B"/>
    <w:rsid w:val="00DF50CA"/>
    <w:rsid w:val="00DF601A"/>
    <w:rsid w:val="00DF7C6B"/>
    <w:rsid w:val="00E04EDC"/>
    <w:rsid w:val="00E065AA"/>
    <w:rsid w:val="00E11F23"/>
    <w:rsid w:val="00E1308D"/>
    <w:rsid w:val="00E17549"/>
    <w:rsid w:val="00E2185E"/>
    <w:rsid w:val="00E27745"/>
    <w:rsid w:val="00E34CF2"/>
    <w:rsid w:val="00E529AA"/>
    <w:rsid w:val="00E53820"/>
    <w:rsid w:val="00E57835"/>
    <w:rsid w:val="00E64284"/>
    <w:rsid w:val="00E6479D"/>
    <w:rsid w:val="00E661DA"/>
    <w:rsid w:val="00E664A1"/>
    <w:rsid w:val="00E66A18"/>
    <w:rsid w:val="00E66B3B"/>
    <w:rsid w:val="00E71EBE"/>
    <w:rsid w:val="00E83ADA"/>
    <w:rsid w:val="00E8574F"/>
    <w:rsid w:val="00E86E0B"/>
    <w:rsid w:val="00E875D0"/>
    <w:rsid w:val="00E903EB"/>
    <w:rsid w:val="00E94335"/>
    <w:rsid w:val="00E9501D"/>
    <w:rsid w:val="00E9671A"/>
    <w:rsid w:val="00EA0BB3"/>
    <w:rsid w:val="00EA4266"/>
    <w:rsid w:val="00EA4FA2"/>
    <w:rsid w:val="00EA6666"/>
    <w:rsid w:val="00EA6B9D"/>
    <w:rsid w:val="00EA738C"/>
    <w:rsid w:val="00EA771B"/>
    <w:rsid w:val="00EB5318"/>
    <w:rsid w:val="00EB7B83"/>
    <w:rsid w:val="00EC1E4C"/>
    <w:rsid w:val="00EC2244"/>
    <w:rsid w:val="00EC392E"/>
    <w:rsid w:val="00EC4DDB"/>
    <w:rsid w:val="00EC614F"/>
    <w:rsid w:val="00EC64E5"/>
    <w:rsid w:val="00ED463B"/>
    <w:rsid w:val="00EE1CA0"/>
    <w:rsid w:val="00EE1D8F"/>
    <w:rsid w:val="00EE34D4"/>
    <w:rsid w:val="00EE7386"/>
    <w:rsid w:val="00EF241C"/>
    <w:rsid w:val="00EF348C"/>
    <w:rsid w:val="00F003E0"/>
    <w:rsid w:val="00F11D8E"/>
    <w:rsid w:val="00F1355B"/>
    <w:rsid w:val="00F15DA7"/>
    <w:rsid w:val="00F246DF"/>
    <w:rsid w:val="00F420E6"/>
    <w:rsid w:val="00F42716"/>
    <w:rsid w:val="00F507A6"/>
    <w:rsid w:val="00F52DED"/>
    <w:rsid w:val="00F54E39"/>
    <w:rsid w:val="00F633F0"/>
    <w:rsid w:val="00F638D4"/>
    <w:rsid w:val="00F70191"/>
    <w:rsid w:val="00F71C7B"/>
    <w:rsid w:val="00F73A28"/>
    <w:rsid w:val="00F74466"/>
    <w:rsid w:val="00F76E7A"/>
    <w:rsid w:val="00F773EF"/>
    <w:rsid w:val="00F77509"/>
    <w:rsid w:val="00F80854"/>
    <w:rsid w:val="00FA23A0"/>
    <w:rsid w:val="00FA2AE0"/>
    <w:rsid w:val="00FA5658"/>
    <w:rsid w:val="00FB4266"/>
    <w:rsid w:val="00FB759E"/>
    <w:rsid w:val="00FD08AE"/>
    <w:rsid w:val="00FD2A45"/>
    <w:rsid w:val="00FD2FBB"/>
    <w:rsid w:val="00FD44F3"/>
    <w:rsid w:val="00FD4C0B"/>
    <w:rsid w:val="00FD612D"/>
    <w:rsid w:val="00FE1DD6"/>
    <w:rsid w:val="00FE4B18"/>
    <w:rsid w:val="00FF0E12"/>
    <w:rsid w:val="00FF28C2"/>
    <w:rsid w:val="00FF4AE2"/>
    <w:rsid w:val="00FF6FE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11022E-8CD5-46CB-B1C2-375C7C05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60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416E9"/>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4D249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249B"/>
  </w:style>
  <w:style w:type="paragraph" w:styleId="Rodap">
    <w:name w:val="footer"/>
    <w:basedOn w:val="Normal"/>
    <w:link w:val="RodapChar"/>
    <w:uiPriority w:val="99"/>
    <w:unhideWhenUsed/>
    <w:rsid w:val="004D249B"/>
    <w:pPr>
      <w:tabs>
        <w:tab w:val="center" w:pos="4252"/>
        <w:tab w:val="right" w:pos="8504"/>
      </w:tabs>
      <w:spacing w:after="0" w:line="240" w:lineRule="auto"/>
    </w:pPr>
  </w:style>
  <w:style w:type="character" w:customStyle="1" w:styleId="RodapChar">
    <w:name w:val="Rodapé Char"/>
    <w:basedOn w:val="Fontepargpadro"/>
    <w:link w:val="Rodap"/>
    <w:uiPriority w:val="99"/>
    <w:rsid w:val="004D249B"/>
  </w:style>
  <w:style w:type="paragraph" w:styleId="Textodenotaderodap">
    <w:name w:val="footnote text"/>
    <w:basedOn w:val="Normal"/>
    <w:link w:val="TextodenotaderodapChar"/>
    <w:uiPriority w:val="99"/>
    <w:semiHidden/>
    <w:unhideWhenUsed/>
    <w:rsid w:val="001B214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B2142"/>
    <w:rPr>
      <w:sz w:val="20"/>
      <w:szCs w:val="20"/>
    </w:rPr>
  </w:style>
  <w:style w:type="character" w:styleId="Refdenotaderodap">
    <w:name w:val="footnote reference"/>
    <w:basedOn w:val="Fontepargpadro"/>
    <w:uiPriority w:val="99"/>
    <w:unhideWhenUsed/>
    <w:rsid w:val="001B2142"/>
    <w:rPr>
      <w:vertAlign w:val="superscript"/>
    </w:rPr>
  </w:style>
  <w:style w:type="paragraph" w:styleId="PargrafodaLista">
    <w:name w:val="List Paragraph"/>
    <w:basedOn w:val="Normal"/>
    <w:uiPriority w:val="34"/>
    <w:qFormat/>
    <w:rsid w:val="00A40D96"/>
    <w:pPr>
      <w:ind w:left="720"/>
      <w:contextualSpacing/>
    </w:pPr>
  </w:style>
  <w:style w:type="character" w:styleId="Hyperlink">
    <w:name w:val="Hyperlink"/>
    <w:basedOn w:val="Fontepargpadro"/>
    <w:uiPriority w:val="99"/>
    <w:unhideWhenUsed/>
    <w:rsid w:val="00D2495B"/>
    <w:rPr>
      <w:color w:val="0000FF" w:themeColor="hyperlink"/>
      <w:u w:val="single"/>
    </w:rPr>
  </w:style>
  <w:style w:type="character" w:styleId="Refdecomentrio">
    <w:name w:val="annotation reference"/>
    <w:basedOn w:val="Fontepargpadro"/>
    <w:uiPriority w:val="99"/>
    <w:semiHidden/>
    <w:unhideWhenUsed/>
    <w:rsid w:val="00396B26"/>
    <w:rPr>
      <w:sz w:val="18"/>
      <w:szCs w:val="18"/>
    </w:rPr>
  </w:style>
  <w:style w:type="paragraph" w:styleId="Textodecomentrio">
    <w:name w:val="annotation text"/>
    <w:basedOn w:val="Normal"/>
    <w:link w:val="TextodecomentrioChar"/>
    <w:uiPriority w:val="99"/>
    <w:semiHidden/>
    <w:unhideWhenUsed/>
    <w:rsid w:val="00396B26"/>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396B26"/>
    <w:rPr>
      <w:sz w:val="24"/>
      <w:szCs w:val="24"/>
    </w:rPr>
  </w:style>
  <w:style w:type="paragraph" w:styleId="Assuntodocomentrio">
    <w:name w:val="annotation subject"/>
    <w:basedOn w:val="Textodecomentrio"/>
    <w:next w:val="Textodecomentrio"/>
    <w:link w:val="AssuntodocomentrioChar"/>
    <w:uiPriority w:val="99"/>
    <w:semiHidden/>
    <w:unhideWhenUsed/>
    <w:rsid w:val="00396B26"/>
    <w:rPr>
      <w:b/>
      <w:bCs/>
      <w:sz w:val="20"/>
      <w:szCs w:val="20"/>
    </w:rPr>
  </w:style>
  <w:style w:type="character" w:customStyle="1" w:styleId="AssuntodocomentrioChar">
    <w:name w:val="Assunto do comentário Char"/>
    <w:basedOn w:val="TextodecomentrioChar"/>
    <w:link w:val="Assuntodocomentrio"/>
    <w:uiPriority w:val="99"/>
    <w:semiHidden/>
    <w:rsid w:val="00396B26"/>
    <w:rPr>
      <w:b/>
      <w:bCs/>
      <w:sz w:val="20"/>
      <w:szCs w:val="20"/>
    </w:rPr>
  </w:style>
  <w:style w:type="paragraph" w:styleId="Textodebalo">
    <w:name w:val="Balloon Text"/>
    <w:basedOn w:val="Normal"/>
    <w:link w:val="TextodebaloChar"/>
    <w:uiPriority w:val="99"/>
    <w:semiHidden/>
    <w:unhideWhenUsed/>
    <w:rsid w:val="00396B26"/>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396B26"/>
    <w:rPr>
      <w:rFonts w:ascii="Times New Roman" w:hAnsi="Times New Roman" w:cs="Times New Roman"/>
      <w:sz w:val="18"/>
      <w:szCs w:val="18"/>
    </w:rPr>
  </w:style>
  <w:style w:type="paragraph" w:styleId="Reviso">
    <w:name w:val="Revision"/>
    <w:hidden/>
    <w:uiPriority w:val="99"/>
    <w:semiHidden/>
    <w:rsid w:val="00525E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248">
      <w:bodyDiv w:val="1"/>
      <w:marLeft w:val="0"/>
      <w:marRight w:val="0"/>
      <w:marTop w:val="0"/>
      <w:marBottom w:val="0"/>
      <w:divBdr>
        <w:top w:val="none" w:sz="0" w:space="0" w:color="auto"/>
        <w:left w:val="none" w:sz="0" w:space="0" w:color="auto"/>
        <w:bottom w:val="none" w:sz="0" w:space="0" w:color="auto"/>
        <w:right w:val="none" w:sz="0" w:space="0" w:color="auto"/>
      </w:divBdr>
    </w:div>
    <w:div w:id="92825976">
      <w:bodyDiv w:val="1"/>
      <w:marLeft w:val="0"/>
      <w:marRight w:val="0"/>
      <w:marTop w:val="0"/>
      <w:marBottom w:val="0"/>
      <w:divBdr>
        <w:top w:val="none" w:sz="0" w:space="0" w:color="auto"/>
        <w:left w:val="none" w:sz="0" w:space="0" w:color="auto"/>
        <w:bottom w:val="none" w:sz="0" w:space="0" w:color="auto"/>
        <w:right w:val="none" w:sz="0" w:space="0" w:color="auto"/>
      </w:divBdr>
    </w:div>
    <w:div w:id="154227533">
      <w:bodyDiv w:val="1"/>
      <w:marLeft w:val="0"/>
      <w:marRight w:val="0"/>
      <w:marTop w:val="0"/>
      <w:marBottom w:val="0"/>
      <w:divBdr>
        <w:top w:val="none" w:sz="0" w:space="0" w:color="auto"/>
        <w:left w:val="none" w:sz="0" w:space="0" w:color="auto"/>
        <w:bottom w:val="none" w:sz="0" w:space="0" w:color="auto"/>
        <w:right w:val="none" w:sz="0" w:space="0" w:color="auto"/>
      </w:divBdr>
    </w:div>
    <w:div w:id="216207665">
      <w:bodyDiv w:val="1"/>
      <w:marLeft w:val="0"/>
      <w:marRight w:val="0"/>
      <w:marTop w:val="0"/>
      <w:marBottom w:val="0"/>
      <w:divBdr>
        <w:top w:val="none" w:sz="0" w:space="0" w:color="auto"/>
        <w:left w:val="none" w:sz="0" w:space="0" w:color="auto"/>
        <w:bottom w:val="none" w:sz="0" w:space="0" w:color="auto"/>
        <w:right w:val="none" w:sz="0" w:space="0" w:color="auto"/>
      </w:divBdr>
    </w:div>
    <w:div w:id="235672558">
      <w:bodyDiv w:val="1"/>
      <w:marLeft w:val="0"/>
      <w:marRight w:val="0"/>
      <w:marTop w:val="0"/>
      <w:marBottom w:val="0"/>
      <w:divBdr>
        <w:top w:val="none" w:sz="0" w:space="0" w:color="auto"/>
        <w:left w:val="none" w:sz="0" w:space="0" w:color="auto"/>
        <w:bottom w:val="none" w:sz="0" w:space="0" w:color="auto"/>
        <w:right w:val="none" w:sz="0" w:space="0" w:color="auto"/>
      </w:divBdr>
    </w:div>
    <w:div w:id="236206043">
      <w:bodyDiv w:val="1"/>
      <w:marLeft w:val="0"/>
      <w:marRight w:val="0"/>
      <w:marTop w:val="0"/>
      <w:marBottom w:val="0"/>
      <w:divBdr>
        <w:top w:val="none" w:sz="0" w:space="0" w:color="auto"/>
        <w:left w:val="none" w:sz="0" w:space="0" w:color="auto"/>
        <w:bottom w:val="none" w:sz="0" w:space="0" w:color="auto"/>
        <w:right w:val="none" w:sz="0" w:space="0" w:color="auto"/>
      </w:divBdr>
    </w:div>
    <w:div w:id="242570400">
      <w:bodyDiv w:val="1"/>
      <w:marLeft w:val="0"/>
      <w:marRight w:val="0"/>
      <w:marTop w:val="0"/>
      <w:marBottom w:val="0"/>
      <w:divBdr>
        <w:top w:val="none" w:sz="0" w:space="0" w:color="auto"/>
        <w:left w:val="none" w:sz="0" w:space="0" w:color="auto"/>
        <w:bottom w:val="none" w:sz="0" w:space="0" w:color="auto"/>
        <w:right w:val="none" w:sz="0" w:space="0" w:color="auto"/>
      </w:divBdr>
    </w:div>
    <w:div w:id="256596373">
      <w:bodyDiv w:val="1"/>
      <w:marLeft w:val="0"/>
      <w:marRight w:val="0"/>
      <w:marTop w:val="0"/>
      <w:marBottom w:val="0"/>
      <w:divBdr>
        <w:top w:val="none" w:sz="0" w:space="0" w:color="auto"/>
        <w:left w:val="none" w:sz="0" w:space="0" w:color="auto"/>
        <w:bottom w:val="none" w:sz="0" w:space="0" w:color="auto"/>
        <w:right w:val="none" w:sz="0" w:space="0" w:color="auto"/>
      </w:divBdr>
    </w:div>
    <w:div w:id="374620031">
      <w:bodyDiv w:val="1"/>
      <w:marLeft w:val="0"/>
      <w:marRight w:val="0"/>
      <w:marTop w:val="0"/>
      <w:marBottom w:val="0"/>
      <w:divBdr>
        <w:top w:val="none" w:sz="0" w:space="0" w:color="auto"/>
        <w:left w:val="none" w:sz="0" w:space="0" w:color="auto"/>
        <w:bottom w:val="none" w:sz="0" w:space="0" w:color="auto"/>
        <w:right w:val="none" w:sz="0" w:space="0" w:color="auto"/>
      </w:divBdr>
    </w:div>
    <w:div w:id="384060724">
      <w:bodyDiv w:val="1"/>
      <w:marLeft w:val="0"/>
      <w:marRight w:val="0"/>
      <w:marTop w:val="0"/>
      <w:marBottom w:val="0"/>
      <w:divBdr>
        <w:top w:val="none" w:sz="0" w:space="0" w:color="auto"/>
        <w:left w:val="none" w:sz="0" w:space="0" w:color="auto"/>
        <w:bottom w:val="none" w:sz="0" w:space="0" w:color="auto"/>
        <w:right w:val="none" w:sz="0" w:space="0" w:color="auto"/>
      </w:divBdr>
    </w:div>
    <w:div w:id="468594468">
      <w:bodyDiv w:val="1"/>
      <w:marLeft w:val="0"/>
      <w:marRight w:val="0"/>
      <w:marTop w:val="0"/>
      <w:marBottom w:val="0"/>
      <w:divBdr>
        <w:top w:val="none" w:sz="0" w:space="0" w:color="auto"/>
        <w:left w:val="none" w:sz="0" w:space="0" w:color="auto"/>
        <w:bottom w:val="none" w:sz="0" w:space="0" w:color="auto"/>
        <w:right w:val="none" w:sz="0" w:space="0" w:color="auto"/>
      </w:divBdr>
    </w:div>
    <w:div w:id="472067234">
      <w:bodyDiv w:val="1"/>
      <w:marLeft w:val="0"/>
      <w:marRight w:val="0"/>
      <w:marTop w:val="0"/>
      <w:marBottom w:val="0"/>
      <w:divBdr>
        <w:top w:val="none" w:sz="0" w:space="0" w:color="auto"/>
        <w:left w:val="none" w:sz="0" w:space="0" w:color="auto"/>
        <w:bottom w:val="none" w:sz="0" w:space="0" w:color="auto"/>
        <w:right w:val="none" w:sz="0" w:space="0" w:color="auto"/>
      </w:divBdr>
    </w:div>
    <w:div w:id="588587362">
      <w:bodyDiv w:val="1"/>
      <w:marLeft w:val="0"/>
      <w:marRight w:val="0"/>
      <w:marTop w:val="0"/>
      <w:marBottom w:val="0"/>
      <w:divBdr>
        <w:top w:val="none" w:sz="0" w:space="0" w:color="auto"/>
        <w:left w:val="none" w:sz="0" w:space="0" w:color="auto"/>
        <w:bottom w:val="none" w:sz="0" w:space="0" w:color="auto"/>
        <w:right w:val="none" w:sz="0" w:space="0" w:color="auto"/>
      </w:divBdr>
    </w:div>
    <w:div w:id="605163141">
      <w:bodyDiv w:val="1"/>
      <w:marLeft w:val="0"/>
      <w:marRight w:val="0"/>
      <w:marTop w:val="0"/>
      <w:marBottom w:val="0"/>
      <w:divBdr>
        <w:top w:val="none" w:sz="0" w:space="0" w:color="auto"/>
        <w:left w:val="none" w:sz="0" w:space="0" w:color="auto"/>
        <w:bottom w:val="none" w:sz="0" w:space="0" w:color="auto"/>
        <w:right w:val="none" w:sz="0" w:space="0" w:color="auto"/>
      </w:divBdr>
    </w:div>
    <w:div w:id="665481733">
      <w:bodyDiv w:val="1"/>
      <w:marLeft w:val="0"/>
      <w:marRight w:val="0"/>
      <w:marTop w:val="0"/>
      <w:marBottom w:val="0"/>
      <w:divBdr>
        <w:top w:val="none" w:sz="0" w:space="0" w:color="auto"/>
        <w:left w:val="none" w:sz="0" w:space="0" w:color="auto"/>
        <w:bottom w:val="none" w:sz="0" w:space="0" w:color="auto"/>
        <w:right w:val="none" w:sz="0" w:space="0" w:color="auto"/>
      </w:divBdr>
      <w:divsChild>
        <w:div w:id="352733983">
          <w:marLeft w:val="0"/>
          <w:marRight w:val="0"/>
          <w:marTop w:val="0"/>
          <w:marBottom w:val="0"/>
          <w:divBdr>
            <w:top w:val="none" w:sz="0" w:space="0" w:color="auto"/>
            <w:left w:val="none" w:sz="0" w:space="0" w:color="auto"/>
            <w:bottom w:val="none" w:sz="0" w:space="0" w:color="auto"/>
            <w:right w:val="none" w:sz="0" w:space="0" w:color="auto"/>
          </w:divBdr>
        </w:div>
        <w:div w:id="338780695">
          <w:marLeft w:val="0"/>
          <w:marRight w:val="0"/>
          <w:marTop w:val="0"/>
          <w:marBottom w:val="0"/>
          <w:divBdr>
            <w:top w:val="single" w:sz="6" w:space="14" w:color="EBEBEB"/>
            <w:left w:val="none" w:sz="0" w:space="0" w:color="auto"/>
            <w:bottom w:val="none" w:sz="0" w:space="0" w:color="auto"/>
            <w:right w:val="none" w:sz="0" w:space="0" w:color="auto"/>
          </w:divBdr>
          <w:divsChild>
            <w:div w:id="266351492">
              <w:marLeft w:val="0"/>
              <w:marRight w:val="0"/>
              <w:marTop w:val="0"/>
              <w:marBottom w:val="0"/>
              <w:divBdr>
                <w:top w:val="none" w:sz="0" w:space="0" w:color="auto"/>
                <w:left w:val="none" w:sz="0" w:space="0" w:color="auto"/>
                <w:bottom w:val="none" w:sz="0" w:space="0" w:color="auto"/>
                <w:right w:val="none" w:sz="0" w:space="0" w:color="auto"/>
              </w:divBdr>
            </w:div>
            <w:div w:id="1771269223">
              <w:marLeft w:val="0"/>
              <w:marRight w:val="0"/>
              <w:marTop w:val="0"/>
              <w:marBottom w:val="0"/>
              <w:divBdr>
                <w:top w:val="none" w:sz="0" w:space="0" w:color="auto"/>
                <w:left w:val="none" w:sz="0" w:space="0" w:color="auto"/>
                <w:bottom w:val="none" w:sz="0" w:space="0" w:color="auto"/>
                <w:right w:val="none" w:sz="0" w:space="0" w:color="auto"/>
              </w:divBdr>
            </w:div>
            <w:div w:id="1220825110">
              <w:marLeft w:val="0"/>
              <w:marRight w:val="0"/>
              <w:marTop w:val="0"/>
              <w:marBottom w:val="0"/>
              <w:divBdr>
                <w:top w:val="none" w:sz="0" w:space="0" w:color="auto"/>
                <w:left w:val="none" w:sz="0" w:space="0" w:color="auto"/>
                <w:bottom w:val="none" w:sz="0" w:space="0" w:color="auto"/>
                <w:right w:val="none" w:sz="0" w:space="0" w:color="auto"/>
              </w:divBdr>
            </w:div>
            <w:div w:id="1782146205">
              <w:marLeft w:val="0"/>
              <w:marRight w:val="0"/>
              <w:marTop w:val="0"/>
              <w:marBottom w:val="0"/>
              <w:divBdr>
                <w:top w:val="none" w:sz="0" w:space="0" w:color="auto"/>
                <w:left w:val="none" w:sz="0" w:space="0" w:color="auto"/>
                <w:bottom w:val="none" w:sz="0" w:space="0" w:color="auto"/>
                <w:right w:val="none" w:sz="0" w:space="0" w:color="auto"/>
              </w:divBdr>
            </w:div>
            <w:div w:id="29479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90287">
      <w:bodyDiv w:val="1"/>
      <w:marLeft w:val="0"/>
      <w:marRight w:val="0"/>
      <w:marTop w:val="0"/>
      <w:marBottom w:val="0"/>
      <w:divBdr>
        <w:top w:val="none" w:sz="0" w:space="0" w:color="auto"/>
        <w:left w:val="none" w:sz="0" w:space="0" w:color="auto"/>
        <w:bottom w:val="none" w:sz="0" w:space="0" w:color="auto"/>
        <w:right w:val="none" w:sz="0" w:space="0" w:color="auto"/>
      </w:divBdr>
      <w:divsChild>
        <w:div w:id="191305401">
          <w:marLeft w:val="0"/>
          <w:marRight w:val="0"/>
          <w:marTop w:val="0"/>
          <w:marBottom w:val="0"/>
          <w:divBdr>
            <w:top w:val="none" w:sz="0" w:space="0" w:color="auto"/>
            <w:left w:val="none" w:sz="0" w:space="0" w:color="auto"/>
            <w:bottom w:val="none" w:sz="0" w:space="0" w:color="auto"/>
            <w:right w:val="none" w:sz="0" w:space="0" w:color="auto"/>
          </w:divBdr>
        </w:div>
        <w:div w:id="1098871455">
          <w:marLeft w:val="0"/>
          <w:marRight w:val="0"/>
          <w:marTop w:val="0"/>
          <w:marBottom w:val="0"/>
          <w:divBdr>
            <w:top w:val="none" w:sz="0" w:space="0" w:color="auto"/>
            <w:left w:val="none" w:sz="0" w:space="0" w:color="auto"/>
            <w:bottom w:val="none" w:sz="0" w:space="0" w:color="auto"/>
            <w:right w:val="none" w:sz="0" w:space="0" w:color="auto"/>
          </w:divBdr>
        </w:div>
        <w:div w:id="1789009123">
          <w:marLeft w:val="0"/>
          <w:marRight w:val="0"/>
          <w:marTop w:val="0"/>
          <w:marBottom w:val="0"/>
          <w:divBdr>
            <w:top w:val="none" w:sz="0" w:space="0" w:color="auto"/>
            <w:left w:val="none" w:sz="0" w:space="0" w:color="auto"/>
            <w:bottom w:val="none" w:sz="0" w:space="0" w:color="auto"/>
            <w:right w:val="none" w:sz="0" w:space="0" w:color="auto"/>
          </w:divBdr>
        </w:div>
        <w:div w:id="1063600360">
          <w:marLeft w:val="0"/>
          <w:marRight w:val="0"/>
          <w:marTop w:val="0"/>
          <w:marBottom w:val="0"/>
          <w:divBdr>
            <w:top w:val="none" w:sz="0" w:space="0" w:color="auto"/>
            <w:left w:val="none" w:sz="0" w:space="0" w:color="auto"/>
            <w:bottom w:val="none" w:sz="0" w:space="0" w:color="auto"/>
            <w:right w:val="none" w:sz="0" w:space="0" w:color="auto"/>
          </w:divBdr>
        </w:div>
        <w:div w:id="560560034">
          <w:marLeft w:val="0"/>
          <w:marRight w:val="0"/>
          <w:marTop w:val="0"/>
          <w:marBottom w:val="0"/>
          <w:divBdr>
            <w:top w:val="none" w:sz="0" w:space="0" w:color="auto"/>
            <w:left w:val="none" w:sz="0" w:space="0" w:color="auto"/>
            <w:bottom w:val="none" w:sz="0" w:space="0" w:color="auto"/>
            <w:right w:val="none" w:sz="0" w:space="0" w:color="auto"/>
          </w:divBdr>
        </w:div>
        <w:div w:id="912162476">
          <w:marLeft w:val="0"/>
          <w:marRight w:val="0"/>
          <w:marTop w:val="0"/>
          <w:marBottom w:val="0"/>
          <w:divBdr>
            <w:top w:val="none" w:sz="0" w:space="0" w:color="auto"/>
            <w:left w:val="none" w:sz="0" w:space="0" w:color="auto"/>
            <w:bottom w:val="none" w:sz="0" w:space="0" w:color="auto"/>
            <w:right w:val="none" w:sz="0" w:space="0" w:color="auto"/>
          </w:divBdr>
        </w:div>
        <w:div w:id="881551098">
          <w:marLeft w:val="0"/>
          <w:marRight w:val="0"/>
          <w:marTop w:val="0"/>
          <w:marBottom w:val="0"/>
          <w:divBdr>
            <w:top w:val="none" w:sz="0" w:space="0" w:color="auto"/>
            <w:left w:val="none" w:sz="0" w:space="0" w:color="auto"/>
            <w:bottom w:val="none" w:sz="0" w:space="0" w:color="auto"/>
            <w:right w:val="none" w:sz="0" w:space="0" w:color="auto"/>
          </w:divBdr>
        </w:div>
        <w:div w:id="727653560">
          <w:marLeft w:val="0"/>
          <w:marRight w:val="0"/>
          <w:marTop w:val="0"/>
          <w:marBottom w:val="0"/>
          <w:divBdr>
            <w:top w:val="none" w:sz="0" w:space="0" w:color="auto"/>
            <w:left w:val="none" w:sz="0" w:space="0" w:color="auto"/>
            <w:bottom w:val="none" w:sz="0" w:space="0" w:color="auto"/>
            <w:right w:val="none" w:sz="0" w:space="0" w:color="auto"/>
          </w:divBdr>
        </w:div>
        <w:div w:id="1631014912">
          <w:marLeft w:val="0"/>
          <w:marRight w:val="0"/>
          <w:marTop w:val="0"/>
          <w:marBottom w:val="0"/>
          <w:divBdr>
            <w:top w:val="none" w:sz="0" w:space="0" w:color="auto"/>
            <w:left w:val="none" w:sz="0" w:space="0" w:color="auto"/>
            <w:bottom w:val="none" w:sz="0" w:space="0" w:color="auto"/>
            <w:right w:val="none" w:sz="0" w:space="0" w:color="auto"/>
          </w:divBdr>
        </w:div>
        <w:div w:id="635138997">
          <w:marLeft w:val="0"/>
          <w:marRight w:val="0"/>
          <w:marTop w:val="0"/>
          <w:marBottom w:val="0"/>
          <w:divBdr>
            <w:top w:val="none" w:sz="0" w:space="0" w:color="auto"/>
            <w:left w:val="none" w:sz="0" w:space="0" w:color="auto"/>
            <w:bottom w:val="none" w:sz="0" w:space="0" w:color="auto"/>
            <w:right w:val="none" w:sz="0" w:space="0" w:color="auto"/>
          </w:divBdr>
        </w:div>
        <w:div w:id="234585862">
          <w:marLeft w:val="0"/>
          <w:marRight w:val="0"/>
          <w:marTop w:val="0"/>
          <w:marBottom w:val="0"/>
          <w:divBdr>
            <w:top w:val="none" w:sz="0" w:space="0" w:color="auto"/>
            <w:left w:val="none" w:sz="0" w:space="0" w:color="auto"/>
            <w:bottom w:val="none" w:sz="0" w:space="0" w:color="auto"/>
            <w:right w:val="none" w:sz="0" w:space="0" w:color="auto"/>
          </w:divBdr>
        </w:div>
        <w:div w:id="1212768933">
          <w:marLeft w:val="0"/>
          <w:marRight w:val="0"/>
          <w:marTop w:val="0"/>
          <w:marBottom w:val="0"/>
          <w:divBdr>
            <w:top w:val="none" w:sz="0" w:space="0" w:color="auto"/>
            <w:left w:val="none" w:sz="0" w:space="0" w:color="auto"/>
            <w:bottom w:val="none" w:sz="0" w:space="0" w:color="auto"/>
            <w:right w:val="none" w:sz="0" w:space="0" w:color="auto"/>
          </w:divBdr>
        </w:div>
        <w:div w:id="1980307553">
          <w:marLeft w:val="0"/>
          <w:marRight w:val="0"/>
          <w:marTop w:val="0"/>
          <w:marBottom w:val="0"/>
          <w:divBdr>
            <w:top w:val="none" w:sz="0" w:space="0" w:color="auto"/>
            <w:left w:val="none" w:sz="0" w:space="0" w:color="auto"/>
            <w:bottom w:val="none" w:sz="0" w:space="0" w:color="auto"/>
            <w:right w:val="none" w:sz="0" w:space="0" w:color="auto"/>
          </w:divBdr>
        </w:div>
        <w:div w:id="1301418945">
          <w:marLeft w:val="0"/>
          <w:marRight w:val="0"/>
          <w:marTop w:val="0"/>
          <w:marBottom w:val="0"/>
          <w:divBdr>
            <w:top w:val="none" w:sz="0" w:space="0" w:color="auto"/>
            <w:left w:val="none" w:sz="0" w:space="0" w:color="auto"/>
            <w:bottom w:val="none" w:sz="0" w:space="0" w:color="auto"/>
            <w:right w:val="none" w:sz="0" w:space="0" w:color="auto"/>
          </w:divBdr>
        </w:div>
        <w:div w:id="1548099703">
          <w:marLeft w:val="0"/>
          <w:marRight w:val="0"/>
          <w:marTop w:val="0"/>
          <w:marBottom w:val="0"/>
          <w:divBdr>
            <w:top w:val="none" w:sz="0" w:space="0" w:color="auto"/>
            <w:left w:val="none" w:sz="0" w:space="0" w:color="auto"/>
            <w:bottom w:val="none" w:sz="0" w:space="0" w:color="auto"/>
            <w:right w:val="none" w:sz="0" w:space="0" w:color="auto"/>
          </w:divBdr>
        </w:div>
        <w:div w:id="216747868">
          <w:marLeft w:val="0"/>
          <w:marRight w:val="0"/>
          <w:marTop w:val="0"/>
          <w:marBottom w:val="0"/>
          <w:divBdr>
            <w:top w:val="none" w:sz="0" w:space="0" w:color="auto"/>
            <w:left w:val="none" w:sz="0" w:space="0" w:color="auto"/>
            <w:bottom w:val="none" w:sz="0" w:space="0" w:color="auto"/>
            <w:right w:val="none" w:sz="0" w:space="0" w:color="auto"/>
          </w:divBdr>
        </w:div>
      </w:divsChild>
    </w:div>
    <w:div w:id="770398187">
      <w:bodyDiv w:val="1"/>
      <w:marLeft w:val="0"/>
      <w:marRight w:val="0"/>
      <w:marTop w:val="0"/>
      <w:marBottom w:val="0"/>
      <w:divBdr>
        <w:top w:val="none" w:sz="0" w:space="0" w:color="auto"/>
        <w:left w:val="none" w:sz="0" w:space="0" w:color="auto"/>
        <w:bottom w:val="none" w:sz="0" w:space="0" w:color="auto"/>
        <w:right w:val="none" w:sz="0" w:space="0" w:color="auto"/>
      </w:divBdr>
    </w:div>
    <w:div w:id="788283595">
      <w:bodyDiv w:val="1"/>
      <w:marLeft w:val="0"/>
      <w:marRight w:val="0"/>
      <w:marTop w:val="0"/>
      <w:marBottom w:val="0"/>
      <w:divBdr>
        <w:top w:val="none" w:sz="0" w:space="0" w:color="auto"/>
        <w:left w:val="none" w:sz="0" w:space="0" w:color="auto"/>
        <w:bottom w:val="none" w:sz="0" w:space="0" w:color="auto"/>
        <w:right w:val="none" w:sz="0" w:space="0" w:color="auto"/>
      </w:divBdr>
    </w:div>
    <w:div w:id="828519217">
      <w:bodyDiv w:val="1"/>
      <w:marLeft w:val="0"/>
      <w:marRight w:val="0"/>
      <w:marTop w:val="0"/>
      <w:marBottom w:val="0"/>
      <w:divBdr>
        <w:top w:val="none" w:sz="0" w:space="0" w:color="auto"/>
        <w:left w:val="none" w:sz="0" w:space="0" w:color="auto"/>
        <w:bottom w:val="none" w:sz="0" w:space="0" w:color="auto"/>
        <w:right w:val="none" w:sz="0" w:space="0" w:color="auto"/>
      </w:divBdr>
    </w:div>
    <w:div w:id="873079423">
      <w:bodyDiv w:val="1"/>
      <w:marLeft w:val="0"/>
      <w:marRight w:val="0"/>
      <w:marTop w:val="0"/>
      <w:marBottom w:val="0"/>
      <w:divBdr>
        <w:top w:val="none" w:sz="0" w:space="0" w:color="auto"/>
        <w:left w:val="none" w:sz="0" w:space="0" w:color="auto"/>
        <w:bottom w:val="none" w:sz="0" w:space="0" w:color="auto"/>
        <w:right w:val="none" w:sz="0" w:space="0" w:color="auto"/>
      </w:divBdr>
    </w:div>
    <w:div w:id="933980954">
      <w:bodyDiv w:val="1"/>
      <w:marLeft w:val="0"/>
      <w:marRight w:val="0"/>
      <w:marTop w:val="0"/>
      <w:marBottom w:val="0"/>
      <w:divBdr>
        <w:top w:val="none" w:sz="0" w:space="0" w:color="auto"/>
        <w:left w:val="none" w:sz="0" w:space="0" w:color="auto"/>
        <w:bottom w:val="none" w:sz="0" w:space="0" w:color="auto"/>
        <w:right w:val="none" w:sz="0" w:space="0" w:color="auto"/>
      </w:divBdr>
    </w:div>
    <w:div w:id="993222840">
      <w:bodyDiv w:val="1"/>
      <w:marLeft w:val="0"/>
      <w:marRight w:val="0"/>
      <w:marTop w:val="0"/>
      <w:marBottom w:val="0"/>
      <w:divBdr>
        <w:top w:val="none" w:sz="0" w:space="0" w:color="auto"/>
        <w:left w:val="none" w:sz="0" w:space="0" w:color="auto"/>
        <w:bottom w:val="none" w:sz="0" w:space="0" w:color="auto"/>
        <w:right w:val="none" w:sz="0" w:space="0" w:color="auto"/>
      </w:divBdr>
    </w:div>
    <w:div w:id="993989762">
      <w:bodyDiv w:val="1"/>
      <w:marLeft w:val="0"/>
      <w:marRight w:val="0"/>
      <w:marTop w:val="0"/>
      <w:marBottom w:val="0"/>
      <w:divBdr>
        <w:top w:val="none" w:sz="0" w:space="0" w:color="auto"/>
        <w:left w:val="none" w:sz="0" w:space="0" w:color="auto"/>
        <w:bottom w:val="none" w:sz="0" w:space="0" w:color="auto"/>
        <w:right w:val="none" w:sz="0" w:space="0" w:color="auto"/>
      </w:divBdr>
    </w:div>
    <w:div w:id="1064985738">
      <w:bodyDiv w:val="1"/>
      <w:marLeft w:val="0"/>
      <w:marRight w:val="0"/>
      <w:marTop w:val="0"/>
      <w:marBottom w:val="0"/>
      <w:divBdr>
        <w:top w:val="none" w:sz="0" w:space="0" w:color="auto"/>
        <w:left w:val="none" w:sz="0" w:space="0" w:color="auto"/>
        <w:bottom w:val="none" w:sz="0" w:space="0" w:color="auto"/>
        <w:right w:val="none" w:sz="0" w:space="0" w:color="auto"/>
      </w:divBdr>
    </w:div>
    <w:div w:id="1149324654">
      <w:bodyDiv w:val="1"/>
      <w:marLeft w:val="0"/>
      <w:marRight w:val="0"/>
      <w:marTop w:val="0"/>
      <w:marBottom w:val="0"/>
      <w:divBdr>
        <w:top w:val="none" w:sz="0" w:space="0" w:color="auto"/>
        <w:left w:val="none" w:sz="0" w:space="0" w:color="auto"/>
        <w:bottom w:val="none" w:sz="0" w:space="0" w:color="auto"/>
        <w:right w:val="none" w:sz="0" w:space="0" w:color="auto"/>
      </w:divBdr>
    </w:div>
    <w:div w:id="1208836475">
      <w:bodyDiv w:val="1"/>
      <w:marLeft w:val="0"/>
      <w:marRight w:val="0"/>
      <w:marTop w:val="0"/>
      <w:marBottom w:val="0"/>
      <w:divBdr>
        <w:top w:val="none" w:sz="0" w:space="0" w:color="auto"/>
        <w:left w:val="none" w:sz="0" w:space="0" w:color="auto"/>
        <w:bottom w:val="none" w:sz="0" w:space="0" w:color="auto"/>
        <w:right w:val="none" w:sz="0" w:space="0" w:color="auto"/>
      </w:divBdr>
    </w:div>
    <w:div w:id="1289974575">
      <w:bodyDiv w:val="1"/>
      <w:marLeft w:val="0"/>
      <w:marRight w:val="0"/>
      <w:marTop w:val="0"/>
      <w:marBottom w:val="0"/>
      <w:divBdr>
        <w:top w:val="none" w:sz="0" w:space="0" w:color="auto"/>
        <w:left w:val="none" w:sz="0" w:space="0" w:color="auto"/>
        <w:bottom w:val="none" w:sz="0" w:space="0" w:color="auto"/>
        <w:right w:val="none" w:sz="0" w:space="0" w:color="auto"/>
      </w:divBdr>
    </w:div>
    <w:div w:id="1340888834">
      <w:bodyDiv w:val="1"/>
      <w:marLeft w:val="0"/>
      <w:marRight w:val="0"/>
      <w:marTop w:val="0"/>
      <w:marBottom w:val="0"/>
      <w:divBdr>
        <w:top w:val="none" w:sz="0" w:space="0" w:color="auto"/>
        <w:left w:val="none" w:sz="0" w:space="0" w:color="auto"/>
        <w:bottom w:val="none" w:sz="0" w:space="0" w:color="auto"/>
        <w:right w:val="none" w:sz="0" w:space="0" w:color="auto"/>
      </w:divBdr>
    </w:div>
    <w:div w:id="1382824143">
      <w:bodyDiv w:val="1"/>
      <w:marLeft w:val="0"/>
      <w:marRight w:val="0"/>
      <w:marTop w:val="0"/>
      <w:marBottom w:val="0"/>
      <w:divBdr>
        <w:top w:val="none" w:sz="0" w:space="0" w:color="auto"/>
        <w:left w:val="none" w:sz="0" w:space="0" w:color="auto"/>
        <w:bottom w:val="none" w:sz="0" w:space="0" w:color="auto"/>
        <w:right w:val="none" w:sz="0" w:space="0" w:color="auto"/>
      </w:divBdr>
    </w:div>
    <w:div w:id="1420981691">
      <w:bodyDiv w:val="1"/>
      <w:marLeft w:val="0"/>
      <w:marRight w:val="0"/>
      <w:marTop w:val="0"/>
      <w:marBottom w:val="0"/>
      <w:divBdr>
        <w:top w:val="none" w:sz="0" w:space="0" w:color="auto"/>
        <w:left w:val="none" w:sz="0" w:space="0" w:color="auto"/>
        <w:bottom w:val="none" w:sz="0" w:space="0" w:color="auto"/>
        <w:right w:val="none" w:sz="0" w:space="0" w:color="auto"/>
      </w:divBdr>
    </w:div>
    <w:div w:id="1492603985">
      <w:bodyDiv w:val="1"/>
      <w:marLeft w:val="0"/>
      <w:marRight w:val="0"/>
      <w:marTop w:val="0"/>
      <w:marBottom w:val="0"/>
      <w:divBdr>
        <w:top w:val="none" w:sz="0" w:space="0" w:color="auto"/>
        <w:left w:val="none" w:sz="0" w:space="0" w:color="auto"/>
        <w:bottom w:val="none" w:sz="0" w:space="0" w:color="auto"/>
        <w:right w:val="none" w:sz="0" w:space="0" w:color="auto"/>
      </w:divBdr>
    </w:div>
    <w:div w:id="1737320285">
      <w:bodyDiv w:val="1"/>
      <w:marLeft w:val="0"/>
      <w:marRight w:val="0"/>
      <w:marTop w:val="0"/>
      <w:marBottom w:val="0"/>
      <w:divBdr>
        <w:top w:val="none" w:sz="0" w:space="0" w:color="auto"/>
        <w:left w:val="none" w:sz="0" w:space="0" w:color="auto"/>
        <w:bottom w:val="none" w:sz="0" w:space="0" w:color="auto"/>
        <w:right w:val="none" w:sz="0" w:space="0" w:color="auto"/>
      </w:divBdr>
    </w:div>
    <w:div w:id="1740597479">
      <w:bodyDiv w:val="1"/>
      <w:marLeft w:val="0"/>
      <w:marRight w:val="0"/>
      <w:marTop w:val="0"/>
      <w:marBottom w:val="0"/>
      <w:divBdr>
        <w:top w:val="none" w:sz="0" w:space="0" w:color="auto"/>
        <w:left w:val="none" w:sz="0" w:space="0" w:color="auto"/>
        <w:bottom w:val="none" w:sz="0" w:space="0" w:color="auto"/>
        <w:right w:val="none" w:sz="0" w:space="0" w:color="auto"/>
      </w:divBdr>
    </w:div>
    <w:div w:id="1802721766">
      <w:bodyDiv w:val="1"/>
      <w:marLeft w:val="0"/>
      <w:marRight w:val="0"/>
      <w:marTop w:val="0"/>
      <w:marBottom w:val="0"/>
      <w:divBdr>
        <w:top w:val="none" w:sz="0" w:space="0" w:color="auto"/>
        <w:left w:val="none" w:sz="0" w:space="0" w:color="auto"/>
        <w:bottom w:val="none" w:sz="0" w:space="0" w:color="auto"/>
        <w:right w:val="none" w:sz="0" w:space="0" w:color="auto"/>
      </w:divBdr>
    </w:div>
    <w:div w:id="1849324453">
      <w:bodyDiv w:val="1"/>
      <w:marLeft w:val="0"/>
      <w:marRight w:val="0"/>
      <w:marTop w:val="0"/>
      <w:marBottom w:val="0"/>
      <w:divBdr>
        <w:top w:val="none" w:sz="0" w:space="0" w:color="auto"/>
        <w:left w:val="none" w:sz="0" w:space="0" w:color="auto"/>
        <w:bottom w:val="none" w:sz="0" w:space="0" w:color="auto"/>
        <w:right w:val="none" w:sz="0" w:space="0" w:color="auto"/>
      </w:divBdr>
    </w:div>
    <w:div w:id="1896159504">
      <w:bodyDiv w:val="1"/>
      <w:marLeft w:val="0"/>
      <w:marRight w:val="0"/>
      <w:marTop w:val="0"/>
      <w:marBottom w:val="0"/>
      <w:divBdr>
        <w:top w:val="none" w:sz="0" w:space="0" w:color="auto"/>
        <w:left w:val="none" w:sz="0" w:space="0" w:color="auto"/>
        <w:bottom w:val="none" w:sz="0" w:space="0" w:color="auto"/>
        <w:right w:val="none" w:sz="0" w:space="0" w:color="auto"/>
      </w:divBdr>
    </w:div>
    <w:div w:id="203221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periodicos.ufpe.br/revistas/rbgfe" TargetMode="External"/><Relationship Id="rId14" Type="http://schemas.openxmlformats.org/officeDocument/2006/relationships/image" Target="media/image4.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9FE"/>
    <w:rsid w:val="00A51CCD"/>
    <w:rsid w:val="00C319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9AE0F8C001F94E42B5751A253037076B">
    <w:name w:val="9AE0F8C001F94E42B5751A253037076B"/>
    <w:rsid w:val="00C319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3D292-13BF-4785-B182-557F830EA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8826</Words>
  <Characters>47664</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enfermeira</dc:creator>
  <cp:lastModifiedBy>Avaliador</cp:lastModifiedBy>
  <cp:revision>2</cp:revision>
  <cp:lastPrinted>2019-04-29T16:04:00Z</cp:lastPrinted>
  <dcterms:created xsi:type="dcterms:W3CDTF">2020-01-31T14:09:00Z</dcterms:created>
  <dcterms:modified xsi:type="dcterms:W3CDTF">2020-01-31T14:09:00Z</dcterms:modified>
</cp:coreProperties>
</file>