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360C02" w14:textId="77777777" w:rsidR="00FE6B5F" w:rsidRDefault="00FE6B5F" w:rsidP="00FE6B5F">
      <w:pPr>
        <w:spacing w:before="240" w:after="240" w:line="25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AULA PRÁTICA COMO FERRAMENTA PARA O ENSINO DOS ARTRÓPODES</w:t>
      </w:r>
    </w:p>
    <w:p w14:paraId="0F7765CC" w14:textId="77777777" w:rsidR="00FE6B5F" w:rsidRDefault="00FE6B5F" w:rsidP="00FE6B5F">
      <w:pPr>
        <w:spacing w:line="240" w:lineRule="auto"/>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Thiago da Silva Batista</w:t>
      </w:r>
      <w:r>
        <w:rPr>
          <w:rStyle w:val="Refdenotaderodap"/>
          <w:rFonts w:ascii="Times New Roman" w:eastAsia="Times New Roman" w:hAnsi="Times New Roman" w:cs="Times New Roman"/>
          <w:sz w:val="24"/>
          <w:szCs w:val="24"/>
          <w:highlight w:val="white"/>
        </w:rPr>
        <w:footnoteReference w:id="1"/>
      </w:r>
      <w:r>
        <w:rPr>
          <w:rFonts w:ascii="Times New Roman" w:eastAsia="Times New Roman" w:hAnsi="Times New Roman" w:cs="Times New Roman"/>
          <w:sz w:val="24"/>
          <w:szCs w:val="24"/>
          <w:highlight w:val="white"/>
        </w:rPr>
        <w:t xml:space="preserve">  </w:t>
      </w:r>
    </w:p>
    <w:p w14:paraId="7288F802" w14:textId="77777777" w:rsidR="00FE6B5F" w:rsidRDefault="00FE6B5F" w:rsidP="00FE6B5F">
      <w:pPr>
        <w:spacing w:line="240" w:lineRule="auto"/>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José Júnior da Silva</w:t>
      </w:r>
    </w:p>
    <w:p w14:paraId="0B9F47B6" w14:textId="77777777" w:rsidR="00FE6B5F" w:rsidRDefault="00FE6B5F" w:rsidP="00FE6B5F">
      <w:pPr>
        <w:spacing w:line="240" w:lineRule="auto"/>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Deyvson Carlos Matos da Silva</w:t>
      </w:r>
    </w:p>
    <w:p w14:paraId="788EC2A4" w14:textId="77777777" w:rsidR="00FE6B5F" w:rsidRDefault="00FE6B5F" w:rsidP="00FE6B5F">
      <w:pPr>
        <w:spacing w:before="240" w:line="25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RESUMO</w:t>
      </w:r>
    </w:p>
    <w:p w14:paraId="17CE1041" w14:textId="77777777" w:rsidR="00FE6B5F" w:rsidRDefault="00FE6B5F" w:rsidP="00FE6B5F">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uso de materiais alternativos é tido como um diferencial nas aulas de ciências, permitindo uma fuga do tradicionalismo, e, a depender o desenvolvimento metodológico torna o estudante um sujeito ativo a construção do seu conhecimento. Esses materiais estão associados também a proposição de aulas práticas, que dentro das ciências torna-se uma importante ferramenta dentro do processo de ensino aprendizagem. Aulas práticas referentes aos artrópodes trazem vantagens pedagógicas e sociais, pois trazem um conhecimento especifico a cerca dos organismos pertencentes a esses grupos, assim como auxilia na quebra de preconceitos sobre os insetos, por exemplo. Nesse sentido, o presente estudo objetivou-se em verificar o sucesso de uma aula teórico prática sobre artrópodes em alunos do oitavo ano do ensino fundamental anos finais. Durante o desenvolvimento da atividade foi perceptível a apropriação dos conteúdos referentes aos artrópodes, por parte dos alunos, onde os mesmos apresentaram aspectos positivos relacionados às atividades práticas.</w:t>
      </w:r>
    </w:p>
    <w:p w14:paraId="57525F0F" w14:textId="77777777" w:rsidR="00FE6B5F" w:rsidRDefault="00FE6B5F" w:rsidP="00FE6B5F">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Palavras-chave:</w:t>
      </w:r>
      <w:r>
        <w:rPr>
          <w:rFonts w:ascii="Times New Roman" w:eastAsia="Times New Roman" w:hAnsi="Times New Roman" w:cs="Times New Roman"/>
          <w:sz w:val="24"/>
          <w:szCs w:val="24"/>
        </w:rPr>
        <w:t xml:space="preserve"> Aula prática; Artrópodes; Aprendizagem.</w:t>
      </w:r>
    </w:p>
    <w:p w14:paraId="0E15AD4D" w14:textId="77777777" w:rsidR="00FE6B5F" w:rsidRDefault="00FE6B5F" w:rsidP="00FE6B5F">
      <w:pPr>
        <w:spacing w:before="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70A61732" w14:textId="77777777" w:rsidR="00FE6B5F" w:rsidRDefault="00FE6B5F" w:rsidP="00FE6B5F">
      <w:pPr>
        <w:shd w:val="clear" w:color="auto" w:fill="F8F9FA"/>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use of alternative materials is seen as a differential in science classes, allowing an escape from traditionalism, and, depending on the methodological development, makes the student an active subject in the construction of their knowledge. These materials are also associated with the proposition of practical classes, which within science becomes an important tool in the teaching-learning process. Practical classes related to arthropods bring pedagogical and social advantages, as they bring specific knowledge about the organisms belonging to these groups, as well as helping to break prejudices about insects, for example. In this sense, the present study aimed to verify the success of a theoretical practical class on arthropods in students from the eighth grade of elementary school and final years. During the development of the activity, the appropriation of contents related to arthropods by the students was noticeable, where they presented positive aspects related to practical activities.</w:t>
      </w:r>
    </w:p>
    <w:p w14:paraId="2ED4CA28" w14:textId="77777777" w:rsidR="00FE6B5F" w:rsidRDefault="00FE6B5F" w:rsidP="00FE6B5F">
      <w:pPr>
        <w:shd w:val="clear" w:color="auto" w:fill="F8F9FA"/>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Practical class; Arthropods; Learning.</w:t>
      </w:r>
    </w:p>
    <w:p w14:paraId="345C3713" w14:textId="77777777" w:rsidR="00FE6B5F" w:rsidRDefault="00FE6B5F" w:rsidP="00FE6B5F">
      <w:pPr>
        <w:spacing w:before="240" w:line="25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50B9A5E0" w14:textId="77777777" w:rsidR="00FE6B5F" w:rsidRDefault="00FE6B5F" w:rsidP="00FE6B5F">
      <w:pPr>
        <w:spacing w:before="240" w:line="25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D1D5145" w14:textId="77777777" w:rsidR="00FE6B5F" w:rsidRDefault="00FE6B5F" w:rsidP="00FE6B5F">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INTRODUÇÃO</w:t>
      </w:r>
    </w:p>
    <w:p w14:paraId="68C3CE88" w14:textId="77777777" w:rsidR="00FE6B5F" w:rsidRDefault="00FE6B5F" w:rsidP="00FE6B5F">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âmbito educacional é nítida uma desmotivação dos alunos para os estudos das ciências, os fatores que contribuem para tal situação são variados, contudo um ensino tradicionalista contribui bastante, com aulas baseadas na instrução programada, onde todos os alunos são "treinados" a pensar da mesma forma, ou seja, uma educação behaviorista (MOREIRA, 2009).</w:t>
      </w:r>
    </w:p>
    <w:p w14:paraId="3AD72B05" w14:textId="77777777" w:rsidR="00FE6B5F" w:rsidRDefault="00FE6B5F" w:rsidP="00FE6B5F">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aulas tradicionais são marcadas por metodologias onde um conjunto de informações são passadas dos professores para os estudantes, mesmo que nem sempre repercutam numa proposta eficaz (CARRAHER, 1986). Logo, dentro do ensino de ciências se fazem necessárias metodologias que usem meios alternativos e atrativos, visto que essa é uma área que trabalha amplamente os aspectos visuais. Onde, dentro de aspectos piagetianos para Moreira (1999), em sala de aula sempre que possível deve-se dar a oportunidade ao estudante de “trabalhar” (atividade prática).</w:t>
      </w:r>
    </w:p>
    <w:p w14:paraId="6B9A4311" w14:textId="77777777" w:rsidR="00FE6B5F" w:rsidRDefault="00FE6B5F" w:rsidP="00FE6B5F">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atividade prática, para Vasconcelos (1995) é tida como a interação entre o aluno e materiais concretos, sejam objetos, instrumentos, livros, microscópio etc. Onde, por meio desse envolvimento, que se torna natural e social, estabelecem-se relações que irão abrir possibilidades de atingir novos conhecimentos.</w:t>
      </w:r>
    </w:p>
    <w:p w14:paraId="180BE4BB" w14:textId="77777777" w:rsidR="00FE6B5F" w:rsidRDefault="00FE6B5F" w:rsidP="00FE6B5F">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Embora ainda exista uma  enorme carência quanto ao ensino e à aprendizagem das ciências escolares na educação básica, como por exemplo, quanto ao desenvolvimento de aulas práticas. Nesse sentido, o uso de materiais diversificados que unam a teoria à prática se apresenta como um ponto crucial na construção de uma aprendizagem significativa (MARTINS E LEITE, 2013),.</w:t>
      </w:r>
    </w:p>
    <w:p w14:paraId="1B528FA9" w14:textId="77777777" w:rsidR="00FE6B5F" w:rsidRDefault="00FE6B5F" w:rsidP="00FE6B5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Logo, as atividades práticas no campo das ciências podem ser associadas a um caráter construtivista, cujos os princípios para a construção do conhecimento baseiam-se em relacionar o indivíduo com o meio físico e social (MORAES, 1998). Sendo a construção do conhecimento iniciada pelos conhecimentos prévios dos estudantes, valorizando-os e tornando-os sujeitos ativos no processo.</w:t>
      </w:r>
    </w:p>
    <w:p w14:paraId="495E02F0" w14:textId="77777777" w:rsidR="00FE6B5F" w:rsidRDefault="00FE6B5F" w:rsidP="00FE6B5F">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sentido, o presente estudo objetivou-se em relatar a experiência a cerca da aplicação de uma aula prática para o ensino de artrópodes em uma turma de 8º ano do ensino fundamental anos finais.</w:t>
      </w:r>
    </w:p>
    <w:p w14:paraId="36A38209" w14:textId="77777777" w:rsidR="00FE6B5F" w:rsidRDefault="00FE6B5F" w:rsidP="00FE6B5F">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REFERENCIAL TEÓRICO</w:t>
      </w:r>
    </w:p>
    <w:p w14:paraId="39C06CBC" w14:textId="77777777" w:rsidR="00FE6B5F" w:rsidRDefault="00FE6B5F" w:rsidP="00FE6B5F">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chegar ao cenário atual, o Ensino de Ciências passou e ainda passa por vários processos e transformações, definidas a partir de um conjunto de normas e diretrizes que visam ajustá-lo às necessidades de cada tempo. A aprendizagem dentro de ciências parte de maneira mais eficiente quando existe uma união entre a teoria e a prática.</w:t>
      </w:r>
    </w:p>
    <w:p w14:paraId="26183D7E" w14:textId="77777777" w:rsidR="00FE6B5F" w:rsidRDefault="00FE6B5F" w:rsidP="00FE6B5F">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Andrade e Massabni (2011), as atividades práticas proporcionam um ganho de conhecimento maior que as aulas teóricas. Com isso, demonstram e corroboraram com o princípio da importância do uso de aulas práticas no ensino de vários conteúdos dentro das ciências.</w:t>
      </w:r>
    </w:p>
    <w:p w14:paraId="0AFBD269" w14:textId="77777777" w:rsidR="00FE6B5F" w:rsidRDefault="00FE6B5F" w:rsidP="00FE6B5F">
      <w:pPr>
        <w:shd w:val="clear" w:color="auto" w:fill="FFFFFF"/>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Embora exista toda essa potencialidade da experimentação em sala, alguns fatores limitantes como escassez de tempo para preparação do material e de equipamentos  adequados,  fazem  com que esse instrumento didático não seja uma constante no cotidiano escolar (KRASILCHIK, 2008). Esses obstáculos fazem com que as aulas práticas sejam propostas de maneira insatisfatória. Tais fatores, aliados à má qualidade dos livros didáticos são, frequentemente, apontados pelos professores como uma das principais deficiências no ensino (ROMANATTO, 2004).</w:t>
      </w:r>
    </w:p>
    <w:p w14:paraId="79C3AC21" w14:textId="77777777" w:rsidR="00FE6B5F" w:rsidRDefault="00FE6B5F" w:rsidP="00FE6B5F">
      <w:pPr>
        <w:shd w:val="clear" w:color="auto" w:fill="FFFFFF"/>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sentido, a oportunidade que as aulas práticas têm de contribuir com o processo ensino-aprendizagem no ensino de Ciências pode ser comprometido quando a mesma é planejada de modo que o aluno siga instruções que visem apenas encontrar a resposta certa, e não para resolver problemas (KRASILCHIK, 2012).</w:t>
      </w:r>
    </w:p>
    <w:p w14:paraId="62AF71B6" w14:textId="77777777" w:rsidR="00FE6B5F" w:rsidRDefault="00FE6B5F" w:rsidP="00FE6B5F">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Dentro desse cenário, destaca-se a construção de conhecimentos acerca do filo Artrópoda, que após a nova Base Nacional Curricular Comum (BNCC) encontra-se no oitavo ano do ensino fundamental anos finais, no componente curricular ciências, e no segundo ano do ensino médio, no componente curricular biologia. O estudo interativo desse conteúdo ajuda a quebrar rejeições existentes a esse grupo de organismos, os insetos por exemplo são tidos como animais causadores de repulsa por parte das pessoas (COSTA-NETO, 2004).</w:t>
      </w:r>
    </w:p>
    <w:p w14:paraId="7FAA398A" w14:textId="77777777" w:rsidR="00FE6B5F" w:rsidRDefault="00FE6B5F" w:rsidP="00FE6B5F">
      <w:pPr>
        <w:spacing w:line="360" w:lineRule="auto"/>
        <w:ind w:firstLine="7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Entre outras razões para se estudar os artrópodes, pode-se destacar sua importância ecológica, equilíbrio de cadeias alimentares, importância econômica, positiva ou negativa (BORROR, 1988).</w:t>
      </w:r>
    </w:p>
    <w:p w14:paraId="406E6EF3" w14:textId="77777777" w:rsidR="00FE6B5F" w:rsidRDefault="00FE6B5F" w:rsidP="00FE6B5F">
      <w:pPr>
        <w:spacing w:before="240" w:after="240" w:line="360" w:lineRule="auto"/>
        <w:jc w:val="both"/>
        <w:rPr>
          <w:rFonts w:ascii="Times New Roman" w:eastAsia="Times New Roman" w:hAnsi="Times New Roman" w:cs="Times New Roman"/>
          <w:b/>
          <w:sz w:val="24"/>
          <w:szCs w:val="24"/>
          <w:highlight w:val="white"/>
        </w:rPr>
      </w:pPr>
    </w:p>
    <w:p w14:paraId="67A33804" w14:textId="77777777" w:rsidR="00FE6B5F" w:rsidRDefault="00FE6B5F" w:rsidP="00FE6B5F">
      <w:pPr>
        <w:spacing w:before="240" w:after="240"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METODOLOGIA</w:t>
      </w:r>
    </w:p>
    <w:p w14:paraId="7BA8E630" w14:textId="77777777" w:rsidR="00FE6B5F" w:rsidRDefault="00FE6B5F" w:rsidP="00FE6B5F">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linha metodológica seguida para a pesquisa é do tipo propositiva, está baseada em abordagens qualitativas descritas por Minayo (1993), onde a mesmo distingue o sujeito de objetos, estabelecendo assim práticas humanas, ou seja, fazendo necessária uma metodologia que considere as diferenças, excetuando–se a abordagem quantitativa. </w:t>
      </w:r>
    </w:p>
    <w:p w14:paraId="1993BF7E" w14:textId="77777777" w:rsidR="00FE6B5F" w:rsidRDefault="00FE6B5F" w:rsidP="00FE6B5F">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Interpretando os sujeitos segundo a perspectiva dos próprios sujeitos que participam da situação, sem se preocupar com representatividade numérica, generalizações estatísticas e relações lineares de causa e efeito.</w:t>
      </w:r>
    </w:p>
    <w:p w14:paraId="54260895" w14:textId="77777777" w:rsidR="00FE6B5F" w:rsidRDefault="00FE6B5F" w:rsidP="00FE6B5F">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Fundamentada em uma aula teórico-prática sobre o filo artrópoda, realizada na Escola Municipal Rural Feijão, localizada no município de Bom Jardim-PE, com alunos do oitavo ano, que desenvolveu-se conforme as etapas a seguir na figura 1.</w:t>
      </w:r>
    </w:p>
    <w:p w14:paraId="522424BA" w14:textId="77777777" w:rsidR="00FE6B5F" w:rsidRDefault="00FE6B5F" w:rsidP="00FE6B5F">
      <w:pPr>
        <w:spacing w:before="240" w:after="24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1: Cronograma para o desenvolvimento da atividade.</w:t>
      </w:r>
    </w:p>
    <w:tbl>
      <w:tblPr>
        <w:tblW w:w="9705" w:type="dxa"/>
        <w:tblInd w:w="-200" w:type="dxa"/>
        <w:tblBorders>
          <w:insideH w:val="nil"/>
          <w:insideV w:val="nil"/>
        </w:tblBorders>
        <w:tblLayout w:type="fixed"/>
        <w:tblLook w:val="0600" w:firstRow="0" w:lastRow="0" w:firstColumn="0" w:lastColumn="0" w:noHBand="1" w:noVBand="1"/>
      </w:tblPr>
      <w:tblGrid>
        <w:gridCol w:w="1935"/>
        <w:gridCol w:w="7770"/>
      </w:tblGrid>
      <w:tr w:rsidR="00FE6B5F" w14:paraId="672D2163" w14:textId="77777777" w:rsidTr="00FE6B5F">
        <w:trPr>
          <w:trHeight w:val="283"/>
        </w:trPr>
        <w:tc>
          <w:tcPr>
            <w:tcW w:w="1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1E34A" w14:textId="77777777" w:rsidR="00FE6B5F" w:rsidRDefault="00FE6B5F">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ETAPAS</w:t>
            </w:r>
          </w:p>
        </w:tc>
        <w:tc>
          <w:tcPr>
            <w:tcW w:w="77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099610E" w14:textId="77777777" w:rsidR="00FE6B5F" w:rsidRDefault="00FE6B5F">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ATIVIDADE</w:t>
            </w:r>
          </w:p>
        </w:tc>
      </w:tr>
      <w:tr w:rsidR="00FE6B5F" w14:paraId="44028BE4" w14:textId="77777777" w:rsidTr="00FE6B5F">
        <w:trPr>
          <w:trHeight w:val="795"/>
        </w:trPr>
        <w:tc>
          <w:tcPr>
            <w:tcW w:w="19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4966C1DC" w14:textId="77777777" w:rsidR="00FE6B5F" w:rsidRDefault="00FE6B5F">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7770" w:type="dxa"/>
            <w:tcBorders>
              <w:top w:val="nil"/>
              <w:left w:val="nil"/>
              <w:bottom w:val="single" w:sz="8" w:space="0" w:color="000000"/>
              <w:right w:val="single" w:sz="8" w:space="0" w:color="000000"/>
            </w:tcBorders>
            <w:tcMar>
              <w:top w:w="100" w:type="dxa"/>
              <w:left w:w="100" w:type="dxa"/>
              <w:bottom w:w="100" w:type="dxa"/>
              <w:right w:w="100" w:type="dxa"/>
            </w:tcMar>
            <w:hideMark/>
          </w:tcPr>
          <w:p w14:paraId="0627E82C" w14:textId="77777777" w:rsidR="00FE6B5F" w:rsidRDefault="00FE6B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Apresentação do conteúdo com o auxílio do projetor , buscando pelos conhecimentos prévios dos alunos para início de debates.</w:t>
            </w:r>
          </w:p>
        </w:tc>
      </w:tr>
      <w:tr w:rsidR="00FE6B5F" w14:paraId="7294A86C" w14:textId="77777777" w:rsidTr="00FE6B5F">
        <w:trPr>
          <w:trHeight w:val="283"/>
        </w:trPr>
        <w:tc>
          <w:tcPr>
            <w:tcW w:w="19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30BD949A" w14:textId="77777777" w:rsidR="00FE6B5F" w:rsidRDefault="00FE6B5F">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p>
        </w:tc>
        <w:tc>
          <w:tcPr>
            <w:tcW w:w="7770" w:type="dxa"/>
            <w:tcBorders>
              <w:top w:val="nil"/>
              <w:left w:val="nil"/>
              <w:bottom w:val="single" w:sz="8" w:space="0" w:color="000000"/>
              <w:right w:val="single" w:sz="8" w:space="0" w:color="000000"/>
            </w:tcBorders>
            <w:tcMar>
              <w:top w:w="100" w:type="dxa"/>
              <w:left w:w="100" w:type="dxa"/>
              <w:bottom w:w="100" w:type="dxa"/>
              <w:right w:w="100" w:type="dxa"/>
            </w:tcMar>
            <w:hideMark/>
          </w:tcPr>
          <w:p w14:paraId="73FAAB90" w14:textId="77777777" w:rsidR="00FE6B5F" w:rsidRDefault="00FE6B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Observação dos exemplares do filo artrópoda.</w:t>
            </w:r>
          </w:p>
        </w:tc>
      </w:tr>
      <w:tr w:rsidR="00FE6B5F" w14:paraId="6B4AC8EE" w14:textId="77777777" w:rsidTr="00FE6B5F">
        <w:trPr>
          <w:trHeight w:val="283"/>
        </w:trPr>
        <w:tc>
          <w:tcPr>
            <w:tcW w:w="19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4C0E33D7" w14:textId="77777777" w:rsidR="00FE6B5F" w:rsidRDefault="00FE6B5F">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p>
        </w:tc>
        <w:tc>
          <w:tcPr>
            <w:tcW w:w="7770" w:type="dxa"/>
            <w:tcBorders>
              <w:top w:val="nil"/>
              <w:left w:val="nil"/>
              <w:bottom w:val="single" w:sz="8" w:space="0" w:color="000000"/>
              <w:right w:val="single" w:sz="8" w:space="0" w:color="000000"/>
            </w:tcBorders>
            <w:tcMar>
              <w:top w:w="100" w:type="dxa"/>
              <w:left w:w="100" w:type="dxa"/>
              <w:bottom w:w="100" w:type="dxa"/>
              <w:right w:w="100" w:type="dxa"/>
            </w:tcMar>
            <w:hideMark/>
          </w:tcPr>
          <w:p w14:paraId="57E79BA4" w14:textId="77777777" w:rsidR="00FE6B5F" w:rsidRDefault="00FE6B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Escolha de um representante pertencente a bancada para elaboração do desenho.</w:t>
            </w:r>
          </w:p>
        </w:tc>
      </w:tr>
      <w:tr w:rsidR="00FE6B5F" w14:paraId="48D2B36C" w14:textId="77777777" w:rsidTr="00FE6B5F">
        <w:trPr>
          <w:trHeight w:val="283"/>
        </w:trPr>
        <w:tc>
          <w:tcPr>
            <w:tcW w:w="19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2F0B30F2" w14:textId="77777777" w:rsidR="00FE6B5F" w:rsidRDefault="00FE6B5F">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IV</w:t>
            </w:r>
          </w:p>
        </w:tc>
        <w:tc>
          <w:tcPr>
            <w:tcW w:w="7770" w:type="dxa"/>
            <w:tcBorders>
              <w:top w:val="nil"/>
              <w:left w:val="nil"/>
              <w:bottom w:val="single" w:sz="8" w:space="0" w:color="000000"/>
              <w:right w:val="single" w:sz="8" w:space="0" w:color="000000"/>
            </w:tcBorders>
            <w:tcMar>
              <w:top w:w="100" w:type="dxa"/>
              <w:left w:w="100" w:type="dxa"/>
              <w:bottom w:w="100" w:type="dxa"/>
              <w:right w:w="100" w:type="dxa"/>
            </w:tcMar>
            <w:hideMark/>
          </w:tcPr>
          <w:p w14:paraId="5B618FB3" w14:textId="77777777" w:rsidR="00FE6B5F" w:rsidRDefault="00FE6B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Exposição dos resultados e relato sobre a experiência.</w:t>
            </w:r>
          </w:p>
        </w:tc>
      </w:tr>
    </w:tbl>
    <w:p w14:paraId="563A1791" w14:textId="77777777" w:rsidR="00FE6B5F" w:rsidRDefault="00FE6B5F" w:rsidP="00FE6B5F">
      <w:pPr>
        <w:spacing w:before="240" w:after="240" w:line="360" w:lineRule="auto"/>
        <w:ind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(Fonte: Autor)</w:t>
      </w:r>
    </w:p>
    <w:p w14:paraId="0DA6EDA5" w14:textId="77777777" w:rsidR="00FE6B5F" w:rsidRDefault="00FE6B5F" w:rsidP="00FE6B5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A atividade prática foi aplicada na Escola Municipal Rural Feijão, localizada no município de Bom Jardim-PE. Essa, se desenvolveu dentro de 03 aulas geminadas. Inicialmente, foi realizada uma imersão teórica, onde os representantes do filo artrópoda foram apresentados com o auxílio do livro didático e de projeções no quadro, no decorrer da aula os conhecimentos prévios dos alunos foram à base para o desenvolvimento da mesma, havendo uma interação nos discursos do estudante e o conteúdo abordado. </w:t>
      </w:r>
    </w:p>
    <w:p w14:paraId="57F78FDB" w14:textId="77777777" w:rsidR="00FE6B5F" w:rsidRDefault="00FE6B5F" w:rsidP="00FE6B5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que vão de encontro às ideias de Vigotski (1991) e Bakhtin (1999), que explicitam em suas obras, muitas considerações sobre a importância da linguagem, do pensamento e das interações entre os estudantes em processo de formação de ideias.</w:t>
      </w:r>
    </w:p>
    <w:p w14:paraId="4F56B83F" w14:textId="77777777" w:rsidR="00FE6B5F" w:rsidRDefault="00FE6B5F" w:rsidP="00FE6B5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final da imersão teórica, ocorre a proposição de uma aula expositiva sobre o filo artrópoda, os alunos recebem alguns espécimes de classes (Insecta, Crustácea, Quilópoda, Diplópoda) do respectivo filo, todos fixados em álcool a 70% (Figura 2). O objetivo da atividade foi fundamentado na visualização de algumas características relacionadas ao número de apêndices, divisão corpórea e estruturas presentes. </w:t>
      </w:r>
    </w:p>
    <w:p w14:paraId="4CE7341C" w14:textId="77777777" w:rsidR="00FE6B5F" w:rsidRDefault="00FE6B5F" w:rsidP="00FE6B5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sentido, Delizoicoy e Angotti (2000) afirmam que existem uma aprendizagem significativa dentro de um trabalho experimental, onde o professor atua apresentando conceitos, leis e teorias envolvidas na experimentação, enquanto os alunos executam e socializam seus resultados, embora a proposta tenha sido uma aula prática sem experimentação.</w:t>
      </w:r>
    </w:p>
    <w:p w14:paraId="5CC6ED3D" w14:textId="77777777" w:rsidR="00FE6B5F" w:rsidRDefault="00FE6B5F" w:rsidP="00FE6B5F">
      <w:pPr>
        <w:spacing w:before="240" w:after="24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Figura 2: Imagens da aula prática sobre anatomia e características gerais dos artrópodes. A: Classes dos artrópodes; B: Manuseio do crustáceo.</w:t>
      </w:r>
    </w:p>
    <w:p w14:paraId="5688198C" w14:textId="77777777" w:rsidR="00FE6B5F" w:rsidRDefault="00FE6B5F" w:rsidP="00FE6B5F">
      <w:pPr>
        <w:spacing w:before="240" w:after="24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A                                               B</w:t>
      </w:r>
    </w:p>
    <w:p w14:paraId="3E48E846" w14:textId="3A76C93B" w:rsidR="00FE6B5F" w:rsidRDefault="00FE6B5F" w:rsidP="00FE6B5F">
      <w:pPr>
        <w:spacing w:before="240" w:after="24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3B555F2" wp14:editId="7763606A">
            <wp:extent cx="2190750" cy="14097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4097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4EAEE44E" wp14:editId="0F0DEC50">
            <wp:extent cx="1971675" cy="140970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1675" cy="140970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p>
    <w:p w14:paraId="0E03AC29" w14:textId="77777777" w:rsidR="00FE6B5F" w:rsidRDefault="00FE6B5F" w:rsidP="00FE6B5F">
      <w:pPr>
        <w:spacing w:before="240" w:after="24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 Autor</w:t>
      </w:r>
    </w:p>
    <w:p w14:paraId="3DF0557F" w14:textId="77777777" w:rsidR="00FE6B5F" w:rsidRDefault="00FE6B5F" w:rsidP="00FE6B5F">
      <w:pPr>
        <w:spacing w:before="240" w:after="24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Contudo, alguns exemplares ficaram apenas para a observação não podendo ser manuseado, a exemplo de alguns representantes da classe Arachnida (Figura 2), garantindo assim a segurança e integridade dos estudantes, devido a possíveis irritações.</w:t>
      </w:r>
    </w:p>
    <w:p w14:paraId="480CB03E" w14:textId="77777777" w:rsidR="00FE6B5F" w:rsidRDefault="00FE6B5F" w:rsidP="00FE6B5F">
      <w:pPr>
        <w:spacing w:before="240" w:after="240" w:line="256" w:lineRule="auto"/>
        <w:jc w:val="center"/>
        <w:rPr>
          <w:rFonts w:ascii="Times New Roman" w:eastAsia="Times New Roman" w:hAnsi="Times New Roman" w:cs="Times New Roman"/>
          <w:sz w:val="20"/>
          <w:szCs w:val="20"/>
        </w:rPr>
      </w:pPr>
    </w:p>
    <w:p w14:paraId="29D222D3" w14:textId="77777777" w:rsidR="00FE6B5F" w:rsidRDefault="00FE6B5F" w:rsidP="00FE6B5F">
      <w:pPr>
        <w:spacing w:before="240" w:after="240" w:line="256" w:lineRule="auto"/>
        <w:jc w:val="center"/>
        <w:rPr>
          <w:rFonts w:ascii="Times New Roman" w:eastAsia="Times New Roman" w:hAnsi="Times New Roman" w:cs="Times New Roman"/>
          <w:sz w:val="20"/>
          <w:szCs w:val="20"/>
        </w:rPr>
      </w:pPr>
    </w:p>
    <w:p w14:paraId="7D8ECC7E" w14:textId="77777777" w:rsidR="00FE6B5F" w:rsidRDefault="00FE6B5F" w:rsidP="00FE6B5F">
      <w:pPr>
        <w:spacing w:before="240" w:after="240" w:line="256" w:lineRule="auto"/>
        <w:jc w:val="center"/>
        <w:rPr>
          <w:rFonts w:ascii="Times New Roman" w:eastAsia="Times New Roman" w:hAnsi="Times New Roman" w:cs="Times New Roman"/>
          <w:sz w:val="20"/>
          <w:szCs w:val="20"/>
        </w:rPr>
      </w:pPr>
    </w:p>
    <w:p w14:paraId="6A4807CA" w14:textId="77777777" w:rsidR="00FE6B5F" w:rsidRDefault="00FE6B5F" w:rsidP="00FE6B5F">
      <w:pPr>
        <w:spacing w:before="240" w:after="240" w:line="256" w:lineRule="auto"/>
        <w:jc w:val="center"/>
        <w:rPr>
          <w:rFonts w:ascii="Times New Roman" w:eastAsia="Times New Roman" w:hAnsi="Times New Roman" w:cs="Times New Roman"/>
          <w:sz w:val="20"/>
          <w:szCs w:val="20"/>
        </w:rPr>
      </w:pPr>
    </w:p>
    <w:p w14:paraId="685FC0B3" w14:textId="77777777" w:rsidR="00FE6B5F" w:rsidRDefault="00FE6B5F" w:rsidP="00FE6B5F">
      <w:pPr>
        <w:spacing w:before="240" w:after="240" w:line="256" w:lineRule="auto"/>
        <w:jc w:val="center"/>
        <w:rPr>
          <w:rFonts w:ascii="Times New Roman" w:eastAsia="Times New Roman" w:hAnsi="Times New Roman" w:cs="Times New Roman"/>
          <w:sz w:val="20"/>
          <w:szCs w:val="20"/>
        </w:rPr>
      </w:pPr>
    </w:p>
    <w:p w14:paraId="3C707795" w14:textId="77777777" w:rsidR="00FE6B5F" w:rsidRDefault="00FE6B5F" w:rsidP="00FE6B5F">
      <w:pPr>
        <w:spacing w:before="240" w:after="24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Figura 3: Demonstração das características gerais e anatomia de arachnideo.</w:t>
      </w:r>
    </w:p>
    <w:p w14:paraId="41A85FD4" w14:textId="31BE15C9" w:rsidR="00FE6B5F" w:rsidRDefault="00FE6B5F" w:rsidP="00FE6B5F">
      <w:pPr>
        <w:spacing w:before="240" w:after="24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drawing>
          <wp:inline distT="0" distB="0" distL="0" distR="0" wp14:anchorId="26795170" wp14:editId="475F654D">
            <wp:extent cx="2466975" cy="168592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1685925"/>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p>
    <w:p w14:paraId="7371138A" w14:textId="77777777" w:rsidR="00FE6B5F" w:rsidRDefault="00FE6B5F" w:rsidP="00FE6B5F">
      <w:pPr>
        <w:spacing w:before="240" w:after="24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 Autor</w:t>
      </w:r>
    </w:p>
    <w:p w14:paraId="540798EE" w14:textId="77777777" w:rsidR="00FE6B5F" w:rsidRDefault="00FE6B5F" w:rsidP="00FE6B5F">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final da análise dos materiais é proposto que os alunos escolham um organismo presente na mesa e elaborem um desenho sobre ele, apresentando sua divisão corporal, números de apêndices, forma de locomoção, habitat e nicho ecológico.  Na aula seguinte, o professor propõe uma roda de conversa para que os alunos exponham os desenhos, explique-os e deixem suas opiniões sobre a aula. </w:t>
      </w:r>
    </w:p>
    <w:p w14:paraId="4282CFC8" w14:textId="77777777" w:rsidR="00FE6B5F" w:rsidRDefault="00FE6B5F" w:rsidP="00FE6B5F">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sentido, pode-se destacar o relato do ESTUDANTE I, onde este afirma que </w:t>
      </w:r>
      <w:r>
        <w:rPr>
          <w:rFonts w:ascii="Times New Roman" w:eastAsia="Times New Roman" w:hAnsi="Times New Roman" w:cs="Times New Roman"/>
          <w:i/>
          <w:sz w:val="24"/>
          <w:szCs w:val="24"/>
        </w:rPr>
        <w:t>“Eu já tinha bastante interesse pelas aulas de ciências, por tratar da vida e do ambiente em que estamos inseridos, mas podendo aprender na prática fica muito mais legal e fácil.”</w:t>
      </w:r>
      <w:r>
        <w:rPr>
          <w:rFonts w:ascii="Times New Roman" w:eastAsia="Times New Roman" w:hAnsi="Times New Roman" w:cs="Times New Roman"/>
          <w:sz w:val="24"/>
          <w:szCs w:val="24"/>
        </w:rPr>
        <w:t xml:space="preserve"> Nessa condição, Bizzo (2002) afirma que existe uma motivação natural por aulas dirigidas a enfrentar desafios e a investigar diversos aspectos da natureza nos quais o aluno tem naturalmente grande interesse. </w:t>
      </w:r>
    </w:p>
    <w:p w14:paraId="2F6A0605" w14:textId="77777777" w:rsidR="00FE6B5F" w:rsidRDefault="00FE6B5F" w:rsidP="00FE6B5F">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Concatenado com essa situação, em seus estudos Zóboli (2000), diz que quando o aluno é motivado seja pelo professor ou terceiros, automaticamente vai despertar a vontade de progredir e de agir, com isso, faz com que aprenda com mais facilidade o conteúdo a ser ensinado.</w:t>
      </w:r>
    </w:p>
    <w:p w14:paraId="1175C9E8" w14:textId="77777777" w:rsidR="00FE6B5F" w:rsidRDefault="00FE6B5F" w:rsidP="00FE6B5F">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CONSIDERAÇÕES FINAIS</w:t>
      </w:r>
    </w:p>
    <w:p w14:paraId="6ECF85D2" w14:textId="77777777" w:rsidR="00FE6B5F" w:rsidRDefault="00FE6B5F" w:rsidP="00FE6B5F">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atividade descrita possibilitou relacionar conhecimentos conceituais a uma visão prática, facilitando o processo de ensino aprendizagem e despertando a atenção e interesse dos alunos dentro da sala de aula. Abrindo também, oportunidades para refletir sobre a renovação e utilização de novas estratégias metodológicas dentro das ciências, quebrando barreiras tradicionais e superando a precariedade de recursos para se trabalhar esse campo dentro das Ciências Naturais.</w:t>
      </w:r>
    </w:p>
    <w:p w14:paraId="2A4DC080" w14:textId="77777777" w:rsidR="00FE6B5F" w:rsidRDefault="00FE6B5F" w:rsidP="00FE6B5F">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14:paraId="03DEC80B" w14:textId="77777777" w:rsidR="00FE6B5F" w:rsidRDefault="00FE6B5F" w:rsidP="00FE6B5F">
      <w:pPr>
        <w:spacing w:before="240" w:after="240"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ANDRADE, M. L. F.; MASSABNI, V. G. O desenvolvimento de atividades práticas na escola: um desafio para os professores de ciências. </w:t>
      </w:r>
      <w:r>
        <w:rPr>
          <w:rFonts w:ascii="Times New Roman" w:eastAsia="Times New Roman" w:hAnsi="Times New Roman" w:cs="Times New Roman"/>
          <w:b/>
          <w:sz w:val="24"/>
          <w:szCs w:val="24"/>
        </w:rPr>
        <w:t>Ciência &amp; Educação</w:t>
      </w:r>
      <w:r>
        <w:rPr>
          <w:rFonts w:ascii="Times New Roman" w:eastAsia="Times New Roman" w:hAnsi="Times New Roman" w:cs="Times New Roman"/>
          <w:sz w:val="24"/>
          <w:szCs w:val="24"/>
        </w:rPr>
        <w:t>, v. 17, n. 4, p. 835-854, 2011</w:t>
      </w:r>
    </w:p>
    <w:p w14:paraId="14AD03CC" w14:textId="77777777" w:rsidR="00FE6B5F" w:rsidRDefault="00FE6B5F" w:rsidP="00FE6B5F">
      <w:pPr>
        <w:spacing w:before="240" w:after="240"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ANGOTTI, J. A. P.; DELIZOICOV D. (2000). </w:t>
      </w:r>
      <w:r>
        <w:rPr>
          <w:rFonts w:ascii="Times New Roman" w:eastAsia="Times New Roman" w:hAnsi="Times New Roman" w:cs="Times New Roman"/>
          <w:b/>
          <w:sz w:val="24"/>
          <w:szCs w:val="24"/>
        </w:rPr>
        <w:t>Metodologia do Ensino de Ciência</w:t>
      </w:r>
      <w:r>
        <w:rPr>
          <w:rFonts w:ascii="Times New Roman" w:eastAsia="Times New Roman" w:hAnsi="Times New Roman" w:cs="Times New Roman"/>
          <w:sz w:val="24"/>
          <w:szCs w:val="24"/>
        </w:rPr>
        <w:t>. São Paulo: Cortez.</w:t>
      </w:r>
    </w:p>
    <w:p w14:paraId="4C776C9F" w14:textId="77777777" w:rsidR="00FE6B5F" w:rsidRDefault="00FE6B5F" w:rsidP="00FE6B5F">
      <w:pPr>
        <w:spacing w:before="240" w:after="240"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BAKHTIN, Mikhail. </w:t>
      </w:r>
      <w:r>
        <w:rPr>
          <w:rFonts w:ascii="Times New Roman" w:eastAsia="Times New Roman" w:hAnsi="Times New Roman" w:cs="Times New Roman"/>
          <w:b/>
          <w:sz w:val="24"/>
          <w:szCs w:val="24"/>
        </w:rPr>
        <w:t>Marxismo e Filosofia da Linguagem</w:t>
      </w:r>
      <w:r>
        <w:rPr>
          <w:rFonts w:ascii="Times New Roman" w:eastAsia="Times New Roman" w:hAnsi="Times New Roman" w:cs="Times New Roman"/>
          <w:sz w:val="24"/>
          <w:szCs w:val="24"/>
        </w:rPr>
        <w:t>. 9. ed. São Paulo: Hucitec, 1999.</w:t>
      </w:r>
    </w:p>
    <w:p w14:paraId="1C8EDC7E" w14:textId="77777777" w:rsidR="00FE6B5F" w:rsidRDefault="00FE6B5F" w:rsidP="00FE6B5F">
      <w:pPr>
        <w:spacing w:before="240" w:after="240"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BIZZO, Nélio. </w:t>
      </w:r>
      <w:r>
        <w:rPr>
          <w:rFonts w:ascii="Times New Roman" w:eastAsia="Times New Roman" w:hAnsi="Times New Roman" w:cs="Times New Roman"/>
          <w:b/>
          <w:sz w:val="24"/>
          <w:szCs w:val="24"/>
        </w:rPr>
        <w:t>Ciências</w:t>
      </w:r>
      <w:r>
        <w:rPr>
          <w:rFonts w:ascii="Times New Roman" w:eastAsia="Times New Roman" w:hAnsi="Times New Roman" w:cs="Times New Roman"/>
          <w:sz w:val="24"/>
          <w:szCs w:val="24"/>
        </w:rPr>
        <w:t>: fácil ou difícil. São Paulo: Ática, 2002. p. 74-75.</w:t>
      </w:r>
    </w:p>
    <w:p w14:paraId="2FAD8140" w14:textId="77777777" w:rsidR="00FE6B5F" w:rsidRDefault="00FE6B5F" w:rsidP="00FE6B5F">
      <w:pPr>
        <w:spacing w:before="240" w:after="240" w:line="25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BORROR, D. J.; DELONG, D. M. </w:t>
      </w:r>
      <w:r>
        <w:rPr>
          <w:rFonts w:ascii="Times New Roman" w:eastAsia="Times New Roman" w:hAnsi="Times New Roman" w:cs="Times New Roman"/>
          <w:b/>
          <w:sz w:val="24"/>
          <w:szCs w:val="24"/>
          <w:highlight w:val="white"/>
        </w:rPr>
        <w:t>Introdução ao Estudo dos Insetos</w:t>
      </w:r>
      <w:r>
        <w:rPr>
          <w:rFonts w:ascii="Times New Roman" w:eastAsia="Times New Roman" w:hAnsi="Times New Roman" w:cs="Times New Roman"/>
          <w:sz w:val="24"/>
          <w:szCs w:val="24"/>
          <w:highlight w:val="white"/>
        </w:rPr>
        <w:t>.São Paulo: Edgard Blücher, 1988.</w:t>
      </w:r>
    </w:p>
    <w:p w14:paraId="2E4445EC" w14:textId="77777777" w:rsidR="00FE6B5F" w:rsidRDefault="00FE6B5F" w:rsidP="00FE6B5F">
      <w:pPr>
        <w:spacing w:before="240" w:after="240"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CARRAHER, T.N. </w:t>
      </w:r>
      <w:r>
        <w:rPr>
          <w:rFonts w:ascii="Times New Roman" w:eastAsia="Times New Roman" w:hAnsi="Times New Roman" w:cs="Times New Roman"/>
          <w:b/>
          <w:sz w:val="24"/>
          <w:szCs w:val="24"/>
        </w:rPr>
        <w:t>Ensino de ciências e desenvolvimento cognitivo.</w:t>
      </w:r>
      <w:r>
        <w:rPr>
          <w:rFonts w:ascii="Times New Roman" w:eastAsia="Times New Roman" w:hAnsi="Times New Roman" w:cs="Times New Roman"/>
          <w:sz w:val="24"/>
          <w:szCs w:val="24"/>
        </w:rPr>
        <w:t xml:space="preserve"> Coletânea do II Encontro "Perspectivas do Ensino de Biologia". São Paulo, FEUSP, 1986, pp. 107-123.</w:t>
      </w:r>
    </w:p>
    <w:p w14:paraId="0C3B4821" w14:textId="77777777" w:rsidR="00FE6B5F" w:rsidRDefault="00FE6B5F" w:rsidP="00FE6B5F">
      <w:pPr>
        <w:spacing w:before="240" w:after="240" w:line="25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COSTA-NETO,  E.  M.;  PACHECO, J. M. A construção do domínio etnozoológico “inseto” pelos moradores  do  povoado  de  Pedra  Branca,  Santa  Terezinha,  Estado  da  Bahia. </w:t>
      </w:r>
      <w:r>
        <w:rPr>
          <w:rFonts w:ascii="Times New Roman" w:eastAsia="Times New Roman" w:hAnsi="Times New Roman" w:cs="Times New Roman"/>
          <w:b/>
          <w:sz w:val="24"/>
          <w:szCs w:val="24"/>
          <w:highlight w:val="white"/>
        </w:rPr>
        <w:t>Acta  Scientiarum. Biological Sciences,Maringá</w:t>
      </w:r>
      <w:r>
        <w:rPr>
          <w:rFonts w:ascii="Times New Roman" w:eastAsia="Times New Roman" w:hAnsi="Times New Roman" w:cs="Times New Roman"/>
          <w:sz w:val="24"/>
          <w:szCs w:val="24"/>
          <w:highlight w:val="white"/>
        </w:rPr>
        <w:t>, v. 26, n. 1, p. 81-90, 2004.</w:t>
      </w:r>
    </w:p>
    <w:p w14:paraId="594AC1D9" w14:textId="77777777" w:rsidR="00FE6B5F" w:rsidRDefault="00FE6B5F" w:rsidP="00FE6B5F">
      <w:pPr>
        <w:spacing w:before="240" w:after="240" w:line="25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KRASILCHIK, M. </w:t>
      </w:r>
      <w:r>
        <w:rPr>
          <w:rFonts w:ascii="Times New Roman" w:eastAsia="Times New Roman" w:hAnsi="Times New Roman" w:cs="Times New Roman"/>
          <w:b/>
          <w:sz w:val="24"/>
          <w:szCs w:val="24"/>
          <w:highlight w:val="white"/>
        </w:rPr>
        <w:t>Prática de Ensino de Biologia</w:t>
      </w:r>
      <w:r>
        <w:rPr>
          <w:rFonts w:ascii="Times New Roman" w:eastAsia="Times New Roman" w:hAnsi="Times New Roman" w:cs="Times New Roman"/>
          <w:sz w:val="24"/>
          <w:szCs w:val="24"/>
          <w:highlight w:val="white"/>
        </w:rPr>
        <w:t xml:space="preserve">. 4. ed. São Paulo: Edusp, 2008.4. </w:t>
      </w:r>
    </w:p>
    <w:p w14:paraId="23FB93F3" w14:textId="77777777" w:rsidR="00FE6B5F" w:rsidRDefault="00FE6B5F" w:rsidP="00FE6B5F">
      <w:pPr>
        <w:spacing w:before="240" w:after="240" w:line="25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ROMANATTO,</w:t>
      </w:r>
      <w:r>
        <w:rPr>
          <w:rFonts w:ascii="Times New Roman" w:eastAsia="Times New Roman" w:hAnsi="Times New Roman" w:cs="Times New Roman"/>
          <w:sz w:val="24"/>
          <w:szCs w:val="24"/>
          <w:highlight w:val="white"/>
        </w:rPr>
        <w:tab/>
        <w:t>M.    C. O</w:t>
      </w:r>
      <w:r>
        <w:rPr>
          <w:rFonts w:ascii="Times New Roman" w:eastAsia="Times New Roman" w:hAnsi="Times New Roman" w:cs="Times New Roman"/>
          <w:sz w:val="24"/>
          <w:szCs w:val="24"/>
          <w:highlight w:val="white"/>
        </w:rPr>
        <w:tab/>
      </w:r>
      <w:r>
        <w:rPr>
          <w:rFonts w:ascii="Times New Roman" w:eastAsia="Times New Roman" w:hAnsi="Times New Roman" w:cs="Times New Roman"/>
          <w:b/>
          <w:sz w:val="24"/>
          <w:szCs w:val="24"/>
          <w:highlight w:val="white"/>
        </w:rPr>
        <w:t>Livro</w:t>
      </w:r>
      <w:r>
        <w:rPr>
          <w:rFonts w:ascii="Times New Roman" w:eastAsia="Times New Roman" w:hAnsi="Times New Roman" w:cs="Times New Roman"/>
          <w:b/>
          <w:sz w:val="24"/>
          <w:szCs w:val="24"/>
          <w:highlight w:val="white"/>
        </w:rPr>
        <w:tab/>
        <w:t>Didático</w:t>
      </w:r>
      <w:r>
        <w:rPr>
          <w:rFonts w:ascii="Times New Roman" w:eastAsia="Times New Roman" w:hAnsi="Times New Roman" w:cs="Times New Roman"/>
          <w:sz w:val="24"/>
          <w:szCs w:val="24"/>
          <w:highlight w:val="white"/>
        </w:rPr>
        <w:t>:    alcances</w:t>
      </w:r>
      <w:r>
        <w:rPr>
          <w:rFonts w:ascii="Times New Roman" w:eastAsia="Times New Roman" w:hAnsi="Times New Roman" w:cs="Times New Roman"/>
          <w:sz w:val="24"/>
          <w:szCs w:val="24"/>
          <w:highlight w:val="white"/>
        </w:rPr>
        <w:tab/>
        <w:t>e limites.2004.Disponível</w:t>
      </w:r>
      <w:r>
        <w:rPr>
          <w:rFonts w:ascii="Times New Roman" w:eastAsia="Times New Roman" w:hAnsi="Times New Roman" w:cs="Times New Roman"/>
          <w:sz w:val="24"/>
          <w:szCs w:val="24"/>
          <w:highlight w:val="white"/>
        </w:rPr>
        <w:tab/>
        <w:t>em &lt;http://www.sbempaulista.org.br/epem/anais/mesas_redondas/mr19-Mauro.doc.&gt;  Acessado  em:  06 de março de 2010.</w:t>
      </w:r>
    </w:p>
    <w:p w14:paraId="05679D42" w14:textId="77777777" w:rsidR="00FE6B5F" w:rsidRDefault="00FE6B5F" w:rsidP="00FE6B5F">
      <w:pPr>
        <w:spacing w:before="240" w:after="240"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KRASILCHIK, M. </w:t>
      </w:r>
      <w:r>
        <w:rPr>
          <w:rFonts w:ascii="Times New Roman" w:eastAsia="Times New Roman" w:hAnsi="Times New Roman" w:cs="Times New Roman"/>
          <w:b/>
          <w:sz w:val="24"/>
          <w:szCs w:val="24"/>
        </w:rPr>
        <w:t>Prática de Ensino de Biologia</w:t>
      </w:r>
      <w:r>
        <w:rPr>
          <w:rFonts w:ascii="Times New Roman" w:eastAsia="Times New Roman" w:hAnsi="Times New Roman" w:cs="Times New Roman"/>
          <w:sz w:val="24"/>
          <w:szCs w:val="24"/>
        </w:rPr>
        <w:t>. São Paulo: USP, 2012.</w:t>
      </w:r>
    </w:p>
    <w:p w14:paraId="7308A77E" w14:textId="77777777" w:rsidR="00FE6B5F" w:rsidRDefault="00FE6B5F" w:rsidP="00FE6B5F">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MARTINS, M. M. M. C.; LEITE, R. C. M. Aulas práticas e experimentos no ensino de ciências na escola básica: as contribuições de Derek Hodson. In: CARNEIRO, C. C. B. S.; LEITE, R. C. M. (Org.) </w:t>
      </w:r>
      <w:r>
        <w:rPr>
          <w:rFonts w:ascii="Times New Roman" w:eastAsia="Times New Roman" w:hAnsi="Times New Roman" w:cs="Times New Roman"/>
          <w:b/>
          <w:sz w:val="24"/>
          <w:szCs w:val="24"/>
        </w:rPr>
        <w:t>Ensino de ciências abordagens múltiplas</w:t>
      </w:r>
      <w:r>
        <w:rPr>
          <w:rFonts w:ascii="Times New Roman" w:eastAsia="Times New Roman" w:hAnsi="Times New Roman" w:cs="Times New Roman"/>
          <w:sz w:val="24"/>
          <w:szCs w:val="24"/>
        </w:rPr>
        <w:t>. Curitiba: CRV, 2013.</w:t>
      </w:r>
    </w:p>
    <w:p w14:paraId="2E0E87A8" w14:textId="77777777" w:rsidR="00FE6B5F" w:rsidRDefault="00FE6B5F" w:rsidP="00FE6B5F">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MINAYO, M. C. S. &amp; SANCHES, O. Quantitative and Qualitative Methods: Opposition or Complementarity?</w:t>
      </w:r>
      <w:r>
        <w:rPr>
          <w:rFonts w:ascii="Times New Roman" w:eastAsia="Times New Roman" w:hAnsi="Times New Roman" w:cs="Times New Roman"/>
          <w:b/>
          <w:sz w:val="24"/>
          <w:szCs w:val="24"/>
        </w:rPr>
        <w:t xml:space="preserve"> Cad. Saúde Públ</w:t>
      </w:r>
      <w:r>
        <w:rPr>
          <w:rFonts w:ascii="Times New Roman" w:eastAsia="Times New Roman" w:hAnsi="Times New Roman" w:cs="Times New Roman"/>
          <w:sz w:val="24"/>
          <w:szCs w:val="24"/>
        </w:rPr>
        <w:t>., Rio de Janeiro, 9 (3): 239-262, jul/sep, 1993</w:t>
      </w:r>
      <w:bookmarkStart w:id="0" w:name="_GoBack"/>
      <w:bookmarkEnd w:id="0"/>
    </w:p>
    <w:p w14:paraId="7E770DAC" w14:textId="77777777" w:rsidR="00FE6B5F" w:rsidRDefault="00FE6B5F" w:rsidP="00FE6B5F">
      <w:pPr>
        <w:spacing w:before="240" w:after="240"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MORAES, R. </w:t>
      </w:r>
      <w:r>
        <w:rPr>
          <w:rFonts w:ascii="Times New Roman" w:eastAsia="Times New Roman" w:hAnsi="Times New Roman" w:cs="Times New Roman"/>
          <w:b/>
          <w:sz w:val="24"/>
          <w:szCs w:val="24"/>
        </w:rPr>
        <w:t>O significado da experimentação numa abordagem construtivista: O caso do ensino de ciências.</w:t>
      </w:r>
      <w:r>
        <w:rPr>
          <w:rFonts w:ascii="Times New Roman" w:eastAsia="Times New Roman" w:hAnsi="Times New Roman" w:cs="Times New Roman"/>
          <w:sz w:val="24"/>
          <w:szCs w:val="24"/>
        </w:rPr>
        <w:t xml:space="preserve"> In: BORGES, R. M. R.; MORAES, R. (Org.) Educação em Ciências nas séries iniciais. Porto Alegre: Sagra Luzzato. 1998. p. 29-45.</w:t>
      </w:r>
    </w:p>
    <w:p w14:paraId="385470ED" w14:textId="77777777" w:rsidR="00FE6B5F" w:rsidRDefault="00FE6B5F" w:rsidP="00FE6B5F">
      <w:pPr>
        <w:spacing w:before="240" w:after="240"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MOREIRA, M.A. </w:t>
      </w:r>
      <w:r>
        <w:rPr>
          <w:rFonts w:ascii="Times New Roman" w:eastAsia="Times New Roman" w:hAnsi="Times New Roman" w:cs="Times New Roman"/>
          <w:b/>
          <w:sz w:val="24"/>
          <w:szCs w:val="24"/>
        </w:rPr>
        <w:t>A teoria do desenvolvimento cognitivo de Piaget.</w:t>
      </w:r>
      <w:r>
        <w:rPr>
          <w:rFonts w:ascii="Times New Roman" w:eastAsia="Times New Roman" w:hAnsi="Times New Roman" w:cs="Times New Roman"/>
          <w:sz w:val="24"/>
          <w:szCs w:val="24"/>
        </w:rPr>
        <w:t xml:space="preserve"> In: MOREIRA, M.A. Teorias de aprendizagem. São Paulo: EPU. 199. p.95-107.</w:t>
      </w:r>
    </w:p>
    <w:p w14:paraId="1A7D0E3D" w14:textId="77777777" w:rsidR="00FE6B5F" w:rsidRDefault="00FE6B5F" w:rsidP="00FE6B5F">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VASCONCELLOS, C. D. S. Planejamento: plano de ensino: aprendizagem e projeto educativo. 4.ed. São Paulo: Libertad, 1995.</w:t>
      </w:r>
    </w:p>
    <w:p w14:paraId="4A980157" w14:textId="77777777" w:rsidR="00FE6B5F" w:rsidRDefault="00FE6B5F" w:rsidP="00FE6B5F">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ZÓBOLI, G. </w:t>
      </w:r>
      <w:r>
        <w:rPr>
          <w:rFonts w:ascii="Times New Roman" w:eastAsia="Times New Roman" w:hAnsi="Times New Roman" w:cs="Times New Roman"/>
          <w:b/>
          <w:sz w:val="24"/>
          <w:szCs w:val="24"/>
        </w:rPr>
        <w:t>Práticas de ensino</w:t>
      </w:r>
      <w:r>
        <w:rPr>
          <w:rFonts w:ascii="Times New Roman" w:eastAsia="Times New Roman" w:hAnsi="Times New Roman" w:cs="Times New Roman"/>
          <w:sz w:val="24"/>
          <w:szCs w:val="24"/>
        </w:rPr>
        <w:t>: subsídios para a atividade docente. 11.ed. São Paulo: Ática, 2000.</w:t>
      </w:r>
    </w:p>
    <w:p w14:paraId="246D2DED" w14:textId="53043B34" w:rsidR="00F0181F" w:rsidRPr="00FE6B5F" w:rsidRDefault="00F0181F" w:rsidP="00FE6B5F"/>
    <w:sectPr w:rsidR="00F0181F" w:rsidRPr="00FE6B5F" w:rsidSect="00102563">
      <w:headerReference w:type="default" r:id="rId11"/>
      <w:footerReference w:type="default" r:id="rId12"/>
      <w:pgSz w:w="11909" w:h="16834"/>
      <w:pgMar w:top="2127" w:right="1440" w:bottom="1701" w:left="1440" w:header="720" w:footer="510" w:gutter="0"/>
      <w:pgNumType w:start="107"/>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E4187" w14:textId="77777777" w:rsidR="00B42B9D" w:rsidRDefault="00B42B9D">
      <w:pPr>
        <w:spacing w:line="240" w:lineRule="auto"/>
      </w:pPr>
      <w:r>
        <w:separator/>
      </w:r>
    </w:p>
  </w:endnote>
  <w:endnote w:type="continuationSeparator" w:id="0">
    <w:p w14:paraId="27C73B05" w14:textId="77777777" w:rsidR="00B42B9D" w:rsidRDefault="00B42B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Slab">
    <w:altName w:val="Times New Roman"/>
    <w:charset w:val="00"/>
    <w:family w:val="auto"/>
    <w:pitch w:val="variable"/>
    <w:sig w:usb0="00000001"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4F6228" w:themeColor="accent3" w:themeShade="80"/>
      </w:rPr>
      <w:id w:val="-1240946363"/>
      <w:docPartObj>
        <w:docPartGallery w:val="Page Numbers (Bottom of Page)"/>
        <w:docPartUnique/>
      </w:docPartObj>
    </w:sdtPr>
    <w:sdtEndPr>
      <w:rPr>
        <w:rFonts w:ascii="Roboto Slab" w:hAnsi="Roboto Slab"/>
        <w:sz w:val="24"/>
        <w:szCs w:val="24"/>
      </w:rPr>
    </w:sdtEndPr>
    <w:sdtContent>
      <w:p w14:paraId="7FF42B2D" w14:textId="218C98F5" w:rsidR="008A20E1" w:rsidRPr="00563D6E" w:rsidRDefault="008A20E1">
        <w:pPr>
          <w:pStyle w:val="Rodap"/>
          <w:jc w:val="right"/>
          <w:rPr>
            <w:rFonts w:ascii="Roboto Slab" w:hAnsi="Roboto Slab"/>
            <w:color w:val="4F6228" w:themeColor="accent3" w:themeShade="80"/>
            <w:sz w:val="24"/>
            <w:szCs w:val="24"/>
          </w:rPr>
        </w:pPr>
        <w:r w:rsidRPr="00563D6E">
          <w:rPr>
            <w:rFonts w:ascii="Roboto Slab" w:hAnsi="Roboto Slab"/>
            <w:color w:val="4F6228" w:themeColor="accent3" w:themeShade="80"/>
            <w:sz w:val="24"/>
            <w:szCs w:val="24"/>
          </w:rPr>
          <w:fldChar w:fldCharType="begin"/>
        </w:r>
        <w:r w:rsidRPr="00563D6E">
          <w:rPr>
            <w:rFonts w:ascii="Roboto Slab" w:hAnsi="Roboto Slab"/>
            <w:color w:val="4F6228" w:themeColor="accent3" w:themeShade="80"/>
            <w:sz w:val="24"/>
            <w:szCs w:val="24"/>
          </w:rPr>
          <w:instrText>PAGE   \* MERGEFORMAT</w:instrText>
        </w:r>
        <w:r w:rsidRPr="00563D6E">
          <w:rPr>
            <w:rFonts w:ascii="Roboto Slab" w:hAnsi="Roboto Slab"/>
            <w:color w:val="4F6228" w:themeColor="accent3" w:themeShade="80"/>
            <w:sz w:val="24"/>
            <w:szCs w:val="24"/>
          </w:rPr>
          <w:fldChar w:fldCharType="separate"/>
        </w:r>
        <w:r w:rsidR="00B42B9D">
          <w:rPr>
            <w:rFonts w:ascii="Roboto Slab" w:hAnsi="Roboto Slab"/>
            <w:noProof/>
            <w:color w:val="4F6228" w:themeColor="accent3" w:themeShade="80"/>
            <w:sz w:val="24"/>
            <w:szCs w:val="24"/>
          </w:rPr>
          <w:t>107</w:t>
        </w:r>
        <w:r w:rsidRPr="00563D6E">
          <w:rPr>
            <w:rFonts w:ascii="Roboto Slab" w:hAnsi="Roboto Slab"/>
            <w:color w:val="4F6228" w:themeColor="accent3" w:themeShade="80"/>
            <w:sz w:val="24"/>
            <w:szCs w:val="24"/>
          </w:rPr>
          <w:fldChar w:fldCharType="end"/>
        </w:r>
      </w:p>
    </w:sdtContent>
  </w:sdt>
  <w:p w14:paraId="27A4B258" w14:textId="2B697722" w:rsidR="008A20E1" w:rsidRPr="00563D6E" w:rsidRDefault="008A20E1" w:rsidP="008A20E1">
    <w:pPr>
      <w:pStyle w:val="Rodap"/>
      <w:jc w:val="center"/>
      <w:rPr>
        <w:rFonts w:ascii="Roboto Slab" w:hAnsi="Roboto Slab"/>
        <w:color w:val="004C28"/>
        <w:sz w:val="24"/>
        <w:szCs w:val="24"/>
      </w:rPr>
    </w:pPr>
    <w:r w:rsidRPr="00563D6E">
      <w:rPr>
        <w:rFonts w:ascii="Roboto Slab" w:hAnsi="Roboto Slab"/>
        <w:color w:val="004C28"/>
        <w:sz w:val="24"/>
        <w:szCs w:val="24"/>
      </w:rPr>
      <w:t xml:space="preserve">Recife, v. </w:t>
    </w:r>
    <w:r w:rsidR="00E96783">
      <w:rPr>
        <w:rFonts w:ascii="Roboto Slab" w:hAnsi="Roboto Slab"/>
        <w:color w:val="004C28"/>
        <w:sz w:val="24"/>
        <w:szCs w:val="24"/>
      </w:rPr>
      <w:t>6</w:t>
    </w:r>
    <w:r w:rsidRPr="00563D6E">
      <w:rPr>
        <w:rFonts w:ascii="Roboto Slab" w:hAnsi="Roboto Slab"/>
        <w:color w:val="004C28"/>
        <w:sz w:val="24"/>
        <w:szCs w:val="24"/>
      </w:rPr>
      <w:t xml:space="preserve">, n. </w:t>
    </w:r>
    <w:r w:rsidR="00E84729" w:rsidRPr="00563D6E">
      <w:rPr>
        <w:rFonts w:ascii="Roboto Slab" w:hAnsi="Roboto Slab"/>
        <w:color w:val="004C28"/>
        <w:sz w:val="24"/>
        <w:szCs w:val="24"/>
      </w:rPr>
      <w:t>2</w:t>
    </w:r>
    <w:r w:rsidR="00E96783">
      <w:rPr>
        <w:rFonts w:ascii="Roboto Slab" w:hAnsi="Roboto Slab"/>
        <w:color w:val="004C28"/>
        <w:sz w:val="24"/>
        <w:szCs w:val="24"/>
      </w:rPr>
      <w:t xml:space="preserve">, p. </w:t>
    </w:r>
    <w:r w:rsidRPr="00563D6E">
      <w:rPr>
        <w:rFonts w:ascii="Roboto Slab" w:hAnsi="Roboto Slab"/>
        <w:color w:val="004C28"/>
        <w:sz w:val="24"/>
        <w:szCs w:val="24"/>
      </w:rPr>
      <w:t>1</w:t>
    </w:r>
    <w:r w:rsidR="00FE6B5F">
      <w:rPr>
        <w:rFonts w:ascii="Roboto Slab" w:hAnsi="Roboto Slab"/>
        <w:color w:val="004C28"/>
        <w:sz w:val="24"/>
        <w:szCs w:val="24"/>
      </w:rPr>
      <w:t>06</w:t>
    </w:r>
    <w:r w:rsidRPr="00563D6E">
      <w:rPr>
        <w:rFonts w:ascii="Roboto Slab" w:hAnsi="Roboto Slab"/>
        <w:color w:val="004C28"/>
        <w:sz w:val="24"/>
        <w:szCs w:val="24"/>
      </w:rPr>
      <w:t>-1</w:t>
    </w:r>
    <w:r w:rsidR="00FE6B5F">
      <w:rPr>
        <w:rFonts w:ascii="Roboto Slab" w:hAnsi="Roboto Slab"/>
        <w:color w:val="004C28"/>
        <w:sz w:val="24"/>
        <w:szCs w:val="24"/>
      </w:rPr>
      <w:t>14</w:t>
    </w:r>
    <w:r w:rsidR="00E96783">
      <w:rPr>
        <w:rFonts w:ascii="Roboto Slab" w:hAnsi="Roboto Slab"/>
        <w:color w:val="004C28"/>
        <w:sz w:val="24"/>
        <w:szCs w:val="24"/>
      </w:rPr>
      <w:t>, 2022</w:t>
    </w:r>
  </w:p>
  <w:p w14:paraId="59426FA5" w14:textId="66E91EC2" w:rsidR="00EA3D11" w:rsidRPr="00563D6E" w:rsidRDefault="008A20E1" w:rsidP="008A20E1">
    <w:pPr>
      <w:pStyle w:val="Rodap"/>
      <w:jc w:val="center"/>
      <w:rPr>
        <w:rFonts w:ascii="Roboto Slab" w:hAnsi="Roboto Slab"/>
        <w:color w:val="004C28"/>
        <w:sz w:val="24"/>
        <w:szCs w:val="24"/>
      </w:rPr>
    </w:pPr>
    <w:r w:rsidRPr="00563D6E">
      <w:rPr>
        <w:rFonts w:ascii="Roboto Slab" w:hAnsi="Roboto Slab"/>
        <w:color w:val="004C28"/>
        <w:sz w:val="24"/>
        <w:szCs w:val="24"/>
      </w:rPr>
      <w:t>https://periodicos.ufpe.br/revistas.php/vivencias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A724D" w14:textId="77777777" w:rsidR="00B42B9D" w:rsidRDefault="00B42B9D">
      <w:pPr>
        <w:spacing w:line="240" w:lineRule="auto"/>
      </w:pPr>
      <w:r>
        <w:separator/>
      </w:r>
    </w:p>
  </w:footnote>
  <w:footnote w:type="continuationSeparator" w:id="0">
    <w:p w14:paraId="310C3711" w14:textId="77777777" w:rsidR="00B42B9D" w:rsidRDefault="00B42B9D">
      <w:pPr>
        <w:spacing w:line="240" w:lineRule="auto"/>
      </w:pPr>
      <w:r>
        <w:continuationSeparator/>
      </w:r>
    </w:p>
  </w:footnote>
  <w:footnote w:id="1">
    <w:p w14:paraId="447855E0" w14:textId="77777777" w:rsidR="00FE6B5F" w:rsidRDefault="00FE6B5F" w:rsidP="00FE6B5F">
      <w:pPr>
        <w:pStyle w:val="Textodenotaderodap"/>
      </w:pPr>
      <w:r>
        <w:rPr>
          <w:rStyle w:val="Refdenotaderodap"/>
        </w:rPr>
        <w:footnoteRef/>
      </w:r>
      <w:r>
        <w:t xml:space="preserve"> thiago__-batista@hotmail.com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C0C7C" w14:textId="672FDFBE" w:rsidR="00F0181F" w:rsidRDefault="00563D6E">
    <w:r>
      <w:rPr>
        <w:noProof/>
      </w:rPr>
      <w:drawing>
        <wp:anchor distT="0" distB="0" distL="114300" distR="114300" simplePos="0" relativeHeight="251659264" behindDoc="1" locked="0" layoutInCell="1" allowOverlap="1" wp14:anchorId="32A772A3" wp14:editId="0F7BE79E">
          <wp:simplePos x="0" y="0"/>
          <wp:positionH relativeFrom="column">
            <wp:posOffset>-914400</wp:posOffset>
          </wp:positionH>
          <wp:positionV relativeFrom="paragraph">
            <wp:posOffset>-466725</wp:posOffset>
          </wp:positionV>
          <wp:extent cx="7572375" cy="10710688"/>
          <wp:effectExtent l="0" t="0" r="0" b="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AS - REVISTA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2375" cy="1071068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B7DE8"/>
    <w:multiLevelType w:val="multilevel"/>
    <w:tmpl w:val="FC1EABB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4DFB6A65"/>
    <w:multiLevelType w:val="multilevel"/>
    <w:tmpl w:val="DA94F1DA"/>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61472B1C"/>
    <w:multiLevelType w:val="multilevel"/>
    <w:tmpl w:val="2AAA32AE"/>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77E60F09"/>
    <w:multiLevelType w:val="multilevel"/>
    <w:tmpl w:val="FA7053B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81F"/>
    <w:rsid w:val="000404F2"/>
    <w:rsid w:val="000506E2"/>
    <w:rsid w:val="000F2C8E"/>
    <w:rsid w:val="00102563"/>
    <w:rsid w:val="00140A4D"/>
    <w:rsid w:val="00152E27"/>
    <w:rsid w:val="00163093"/>
    <w:rsid w:val="001F5B92"/>
    <w:rsid w:val="002078FA"/>
    <w:rsid w:val="002A210D"/>
    <w:rsid w:val="003B69FA"/>
    <w:rsid w:val="00491298"/>
    <w:rsid w:val="00501F6A"/>
    <w:rsid w:val="00563D6E"/>
    <w:rsid w:val="005C5299"/>
    <w:rsid w:val="005E4B0E"/>
    <w:rsid w:val="005F58AA"/>
    <w:rsid w:val="00736EE1"/>
    <w:rsid w:val="007427E2"/>
    <w:rsid w:val="0074418B"/>
    <w:rsid w:val="0075697B"/>
    <w:rsid w:val="007C1CF8"/>
    <w:rsid w:val="00873F88"/>
    <w:rsid w:val="008A20E1"/>
    <w:rsid w:val="00933C34"/>
    <w:rsid w:val="009E530B"/>
    <w:rsid w:val="00B42B9D"/>
    <w:rsid w:val="00E84729"/>
    <w:rsid w:val="00E96783"/>
    <w:rsid w:val="00EA3D11"/>
    <w:rsid w:val="00ED32F8"/>
    <w:rsid w:val="00F0181F"/>
    <w:rsid w:val="00F2017B"/>
    <w:rsid w:val="00FB17D6"/>
    <w:rsid w:val="00FD4153"/>
    <w:rsid w:val="00FE6B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72E58E"/>
  <w15:docId w15:val="{B91E377C-2BB8-464F-974A-5BFF0A964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Cabealho">
    <w:name w:val="header"/>
    <w:basedOn w:val="Normal"/>
    <w:link w:val="CabealhoChar"/>
    <w:uiPriority w:val="99"/>
    <w:unhideWhenUsed/>
    <w:rsid w:val="002078FA"/>
    <w:pPr>
      <w:tabs>
        <w:tab w:val="center" w:pos="4252"/>
        <w:tab w:val="right" w:pos="8504"/>
      </w:tabs>
      <w:spacing w:line="240" w:lineRule="auto"/>
    </w:pPr>
  </w:style>
  <w:style w:type="character" w:customStyle="1" w:styleId="CabealhoChar">
    <w:name w:val="Cabeçalho Char"/>
    <w:basedOn w:val="Fontepargpadro"/>
    <w:link w:val="Cabealho"/>
    <w:uiPriority w:val="99"/>
    <w:rsid w:val="002078FA"/>
  </w:style>
  <w:style w:type="paragraph" w:styleId="Rodap">
    <w:name w:val="footer"/>
    <w:basedOn w:val="Normal"/>
    <w:link w:val="RodapChar"/>
    <w:uiPriority w:val="99"/>
    <w:unhideWhenUsed/>
    <w:rsid w:val="002078FA"/>
    <w:pPr>
      <w:tabs>
        <w:tab w:val="center" w:pos="4252"/>
        <w:tab w:val="right" w:pos="8504"/>
      </w:tabs>
      <w:spacing w:line="240" w:lineRule="auto"/>
    </w:pPr>
  </w:style>
  <w:style w:type="character" w:customStyle="1" w:styleId="RodapChar">
    <w:name w:val="Rodapé Char"/>
    <w:basedOn w:val="Fontepargpadro"/>
    <w:link w:val="Rodap"/>
    <w:uiPriority w:val="99"/>
    <w:rsid w:val="002078FA"/>
  </w:style>
  <w:style w:type="paragraph" w:styleId="Textodenotaderodap">
    <w:name w:val="footnote text"/>
    <w:basedOn w:val="Normal"/>
    <w:link w:val="TextodenotaderodapChar"/>
    <w:uiPriority w:val="99"/>
    <w:semiHidden/>
    <w:unhideWhenUsed/>
    <w:rsid w:val="008A20E1"/>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8A20E1"/>
    <w:rPr>
      <w:sz w:val="20"/>
      <w:szCs w:val="20"/>
    </w:rPr>
  </w:style>
  <w:style w:type="character" w:styleId="Refdenotaderodap">
    <w:name w:val="footnote reference"/>
    <w:basedOn w:val="Fontepargpadro"/>
    <w:uiPriority w:val="99"/>
    <w:semiHidden/>
    <w:unhideWhenUsed/>
    <w:rsid w:val="008A20E1"/>
    <w:rPr>
      <w:vertAlign w:val="superscript"/>
    </w:rPr>
  </w:style>
  <w:style w:type="character" w:styleId="Hyperlink">
    <w:name w:val="Hyperlink"/>
    <w:basedOn w:val="Fontepargpadro"/>
    <w:uiPriority w:val="99"/>
    <w:semiHidden/>
    <w:unhideWhenUsed/>
    <w:rsid w:val="002A210D"/>
    <w:rPr>
      <w:color w:val="0000FF" w:themeColor="hyperlink"/>
      <w:u w:val="single"/>
    </w:rPr>
  </w:style>
  <w:style w:type="paragraph" w:styleId="Textodenotadefim">
    <w:name w:val="endnote text"/>
    <w:basedOn w:val="Normal"/>
    <w:link w:val="TextodenotadefimChar"/>
    <w:uiPriority w:val="99"/>
    <w:semiHidden/>
    <w:unhideWhenUsed/>
    <w:rsid w:val="000506E2"/>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0506E2"/>
    <w:rPr>
      <w:sz w:val="20"/>
      <w:szCs w:val="20"/>
    </w:rPr>
  </w:style>
  <w:style w:type="character" w:styleId="Refdenotadefim">
    <w:name w:val="endnote reference"/>
    <w:basedOn w:val="Fontepargpadro"/>
    <w:uiPriority w:val="99"/>
    <w:semiHidden/>
    <w:unhideWhenUsed/>
    <w:rsid w:val="000506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41922">
      <w:bodyDiv w:val="1"/>
      <w:marLeft w:val="0"/>
      <w:marRight w:val="0"/>
      <w:marTop w:val="0"/>
      <w:marBottom w:val="0"/>
      <w:divBdr>
        <w:top w:val="none" w:sz="0" w:space="0" w:color="auto"/>
        <w:left w:val="none" w:sz="0" w:space="0" w:color="auto"/>
        <w:bottom w:val="none" w:sz="0" w:space="0" w:color="auto"/>
        <w:right w:val="none" w:sz="0" w:space="0" w:color="auto"/>
      </w:divBdr>
    </w:div>
    <w:div w:id="1933509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98781-D169-4A17-A1DA-C44D43346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2173</Words>
  <Characters>11737</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PROFESSOR</dc:creator>
  <cp:lastModifiedBy>Jessiklecia Josinalva de Siqueira</cp:lastModifiedBy>
  <cp:revision>8</cp:revision>
  <dcterms:created xsi:type="dcterms:W3CDTF">2024-04-08T18:57:00Z</dcterms:created>
  <dcterms:modified xsi:type="dcterms:W3CDTF">2024-04-10T13:16:00Z</dcterms:modified>
</cp:coreProperties>
</file>